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before="3" w:line="190" w:lineRule="exact"/>
        <w:jc w:val="left"/>
        <w:rPr>
          <w:rFonts w:ascii="Times New Roman" w:hAnsi="Times New Roman" w:cs="Times New Roman"/>
          <w:kern w:val="0"/>
          <w:sz w:val="19"/>
          <w:szCs w:val="19"/>
        </w:rPr>
      </w:pPr>
    </w:p>
    <w:p>
      <w:pPr>
        <w:autoSpaceDE w:val="0"/>
        <w:autoSpaceDN w:val="0"/>
        <w:adjustRightInd w:val="0"/>
        <w:spacing w:line="200" w:lineRule="exact"/>
        <w:jc w:val="left"/>
        <w:rPr>
          <w:rFonts w:ascii="Times New Roman" w:hAnsi="Times New Roman" w:cs="Times New Roman"/>
          <w:kern w:val="0"/>
          <w:sz w:val="20"/>
          <w:szCs w:val="20"/>
        </w:rPr>
      </w:pPr>
    </w:p>
    <w:p>
      <w:pPr>
        <w:autoSpaceDE w:val="0"/>
        <w:autoSpaceDN w:val="0"/>
        <w:adjustRightInd w:val="0"/>
        <w:spacing w:line="200" w:lineRule="exact"/>
        <w:jc w:val="left"/>
        <w:rPr>
          <w:rFonts w:ascii="Times New Roman" w:hAnsi="Times New Roman" w:cs="Times New Roman"/>
          <w:kern w:val="0"/>
          <w:sz w:val="20"/>
          <w:szCs w:val="20"/>
        </w:rPr>
      </w:pPr>
    </w:p>
    <w:p>
      <w:pPr>
        <w:autoSpaceDE w:val="0"/>
        <w:autoSpaceDN w:val="0"/>
        <w:adjustRightInd w:val="0"/>
        <w:spacing w:line="200" w:lineRule="exact"/>
        <w:jc w:val="left"/>
        <w:rPr>
          <w:rFonts w:ascii="Times New Roman" w:hAnsi="Times New Roman" w:cs="Times New Roman"/>
          <w:kern w:val="0"/>
          <w:sz w:val="20"/>
          <w:szCs w:val="20"/>
        </w:rPr>
      </w:pPr>
    </w:p>
    <w:p>
      <w:pPr>
        <w:autoSpaceDE w:val="0"/>
        <w:autoSpaceDN w:val="0"/>
        <w:adjustRightInd w:val="0"/>
        <w:spacing w:line="200" w:lineRule="exact"/>
        <w:jc w:val="left"/>
        <w:rPr>
          <w:rFonts w:ascii="Times New Roman" w:hAnsi="Times New Roman" w:cs="Times New Roman"/>
          <w:kern w:val="0"/>
          <w:sz w:val="20"/>
          <w:szCs w:val="20"/>
        </w:rPr>
      </w:pPr>
    </w:p>
    <w:p>
      <w:pPr>
        <w:autoSpaceDE w:val="0"/>
        <w:autoSpaceDN w:val="0"/>
        <w:adjustRightInd w:val="0"/>
        <w:spacing w:line="200" w:lineRule="exact"/>
        <w:jc w:val="left"/>
        <w:rPr>
          <w:rFonts w:ascii="Times New Roman" w:hAnsi="Times New Roman" w:cs="Times New Roman"/>
          <w:kern w:val="0"/>
          <w:sz w:val="20"/>
          <w:szCs w:val="20"/>
        </w:rPr>
      </w:pPr>
    </w:p>
    <w:p>
      <w:pPr>
        <w:autoSpaceDE w:val="0"/>
        <w:autoSpaceDN w:val="0"/>
        <w:adjustRightInd w:val="0"/>
        <w:spacing w:line="200" w:lineRule="exact"/>
        <w:jc w:val="left"/>
        <w:rPr>
          <w:rFonts w:ascii="Times New Roman" w:hAnsi="Times New Roman" w:cs="Times New Roman"/>
          <w:kern w:val="0"/>
          <w:sz w:val="20"/>
          <w:szCs w:val="20"/>
        </w:rPr>
      </w:pPr>
    </w:p>
    <w:p>
      <w:pPr>
        <w:autoSpaceDE w:val="0"/>
        <w:autoSpaceDN w:val="0"/>
        <w:adjustRightInd w:val="0"/>
        <w:spacing w:line="200" w:lineRule="exact"/>
        <w:jc w:val="left"/>
        <w:rPr>
          <w:rFonts w:ascii="Times New Roman" w:hAnsi="Times New Roman" w:cs="Times New Roman"/>
          <w:kern w:val="0"/>
          <w:sz w:val="20"/>
          <w:szCs w:val="20"/>
        </w:rPr>
      </w:pPr>
    </w:p>
    <w:p>
      <w:pPr>
        <w:autoSpaceDE w:val="0"/>
        <w:autoSpaceDN w:val="0"/>
        <w:adjustRightInd w:val="0"/>
        <w:spacing w:line="200" w:lineRule="exact"/>
        <w:jc w:val="left"/>
        <w:rPr>
          <w:rFonts w:ascii="Times New Roman" w:hAnsi="Times New Roman" w:cs="Times New Roman"/>
          <w:kern w:val="0"/>
          <w:sz w:val="20"/>
          <w:szCs w:val="20"/>
        </w:rPr>
      </w:pPr>
    </w:p>
    <w:p>
      <w:pPr>
        <w:autoSpaceDE w:val="0"/>
        <w:autoSpaceDN w:val="0"/>
        <w:adjustRightInd w:val="0"/>
        <w:spacing w:line="200" w:lineRule="exact"/>
        <w:jc w:val="left"/>
        <w:rPr>
          <w:rFonts w:ascii="Times New Roman" w:hAnsi="Times New Roman" w:cs="Times New Roman"/>
          <w:kern w:val="0"/>
          <w:sz w:val="20"/>
          <w:szCs w:val="20"/>
        </w:rPr>
      </w:pPr>
    </w:p>
    <w:p>
      <w:pPr>
        <w:autoSpaceDE w:val="0"/>
        <w:autoSpaceDN w:val="0"/>
        <w:adjustRightInd w:val="0"/>
        <w:spacing w:line="200" w:lineRule="exact"/>
        <w:jc w:val="left"/>
        <w:rPr>
          <w:rFonts w:ascii="Times New Roman" w:hAnsi="Times New Roman" w:cs="Times New Roman"/>
          <w:kern w:val="0"/>
          <w:sz w:val="20"/>
          <w:szCs w:val="20"/>
        </w:rPr>
      </w:pPr>
    </w:p>
    <w:p>
      <w:pPr>
        <w:autoSpaceDE w:val="0"/>
        <w:autoSpaceDN w:val="0"/>
        <w:adjustRightInd w:val="0"/>
        <w:spacing w:line="200" w:lineRule="exact"/>
        <w:jc w:val="left"/>
        <w:rPr>
          <w:rFonts w:ascii="Times New Roman" w:hAnsi="Times New Roman" w:cs="Times New Roman"/>
          <w:kern w:val="0"/>
          <w:sz w:val="20"/>
          <w:szCs w:val="20"/>
        </w:rPr>
      </w:pPr>
    </w:p>
    <w:p>
      <w:pPr>
        <w:autoSpaceDE w:val="0"/>
        <w:autoSpaceDN w:val="0"/>
        <w:adjustRightInd w:val="0"/>
        <w:spacing w:line="200" w:lineRule="exact"/>
        <w:jc w:val="left"/>
        <w:rPr>
          <w:rFonts w:ascii="Times New Roman" w:hAnsi="Times New Roman" w:cs="Times New Roman"/>
          <w:kern w:val="0"/>
          <w:sz w:val="20"/>
          <w:szCs w:val="20"/>
        </w:rPr>
      </w:pPr>
    </w:p>
    <w:p>
      <w:pPr>
        <w:autoSpaceDE w:val="0"/>
        <w:autoSpaceDN w:val="0"/>
        <w:adjustRightInd w:val="0"/>
        <w:spacing w:line="549" w:lineRule="exact"/>
        <w:ind w:left="58" w:right="65"/>
        <w:jc w:val="center"/>
        <w:rPr>
          <w:rFonts w:hint="eastAsia" w:ascii="宋体" w:hAnsi="宋体" w:eastAsia="宋体" w:cs="宋体"/>
          <w:w w:val="99"/>
          <w:kern w:val="0"/>
          <w:sz w:val="44"/>
          <w:szCs w:val="44"/>
        </w:rPr>
      </w:pPr>
      <w:r>
        <w:rPr>
          <w:rFonts w:hint="eastAsia" w:ascii="宋体" w:hAnsi="宋体" w:eastAsia="宋体" w:cs="宋体"/>
          <w:w w:val="99"/>
          <w:kern w:val="0"/>
          <w:sz w:val="44"/>
          <w:szCs w:val="44"/>
        </w:rPr>
        <w:t>《复合肥料行业绿</w:t>
      </w:r>
      <w:r>
        <w:rPr>
          <w:rFonts w:hint="eastAsia" w:ascii="宋体" w:hAnsi="宋体" w:eastAsia="宋体" w:cs="宋体"/>
          <w:spacing w:val="2"/>
          <w:w w:val="99"/>
          <w:kern w:val="0"/>
          <w:sz w:val="44"/>
          <w:szCs w:val="44"/>
        </w:rPr>
        <w:t>色工</w:t>
      </w:r>
      <w:r>
        <w:rPr>
          <w:rFonts w:hint="eastAsia" w:ascii="宋体" w:hAnsi="宋体" w:eastAsia="宋体" w:cs="宋体"/>
          <w:w w:val="99"/>
          <w:kern w:val="0"/>
          <w:sz w:val="44"/>
          <w:szCs w:val="44"/>
        </w:rPr>
        <w:t>厂评价</w:t>
      </w:r>
      <w:r>
        <w:rPr>
          <w:rFonts w:hint="eastAsia" w:ascii="宋体" w:hAnsi="宋体" w:eastAsia="宋体" w:cs="宋体"/>
          <w:spacing w:val="2"/>
          <w:w w:val="99"/>
          <w:kern w:val="0"/>
          <w:sz w:val="44"/>
          <w:szCs w:val="44"/>
        </w:rPr>
        <w:t>要求</w:t>
      </w:r>
      <w:r>
        <w:rPr>
          <w:rFonts w:hint="eastAsia" w:ascii="宋体" w:hAnsi="宋体" w:eastAsia="宋体" w:cs="宋体"/>
          <w:w w:val="99"/>
          <w:kern w:val="0"/>
          <w:sz w:val="44"/>
          <w:szCs w:val="44"/>
        </w:rPr>
        <w:t>》</w:t>
      </w:r>
    </w:p>
    <w:p>
      <w:pPr>
        <w:autoSpaceDE w:val="0"/>
        <w:autoSpaceDN w:val="0"/>
        <w:adjustRightInd w:val="0"/>
        <w:spacing w:line="549" w:lineRule="exact"/>
        <w:ind w:left="58" w:right="65"/>
        <w:jc w:val="center"/>
        <w:rPr>
          <w:rFonts w:hint="eastAsia" w:ascii="宋体" w:hAnsi="宋体" w:eastAsia="宋体" w:cs="宋体"/>
          <w:kern w:val="0"/>
          <w:sz w:val="44"/>
          <w:szCs w:val="44"/>
        </w:rPr>
      </w:pPr>
      <w:r>
        <w:rPr>
          <w:rFonts w:hint="eastAsia" w:ascii="宋体" w:hAnsi="宋体" w:eastAsia="宋体" w:cs="宋体"/>
          <w:w w:val="99"/>
          <w:kern w:val="0"/>
          <w:sz w:val="44"/>
          <w:szCs w:val="44"/>
        </w:rPr>
        <w:t>编制</w:t>
      </w:r>
      <w:r>
        <w:rPr>
          <w:rFonts w:hint="eastAsia" w:ascii="宋体" w:hAnsi="宋体" w:eastAsia="宋体" w:cs="宋体"/>
          <w:spacing w:val="2"/>
          <w:w w:val="99"/>
          <w:kern w:val="0"/>
          <w:sz w:val="44"/>
          <w:szCs w:val="44"/>
        </w:rPr>
        <w:t>说</w:t>
      </w:r>
      <w:r>
        <w:rPr>
          <w:rFonts w:hint="eastAsia" w:ascii="宋体" w:hAnsi="宋体" w:eastAsia="宋体" w:cs="宋体"/>
          <w:w w:val="99"/>
          <w:kern w:val="0"/>
          <w:sz w:val="44"/>
          <w:szCs w:val="44"/>
        </w:rPr>
        <w:t>明</w:t>
      </w: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before="3" w:line="280" w:lineRule="exact"/>
        <w:jc w:val="left"/>
        <w:rPr>
          <w:rFonts w:ascii="Microsoft JhengHei" w:hAnsi="Times New Roman" w:eastAsia="Microsoft JhengHei" w:cs="Microsoft JhengHei"/>
          <w:kern w:val="0"/>
          <w:sz w:val="28"/>
          <w:szCs w:val="28"/>
        </w:rPr>
      </w:pPr>
    </w:p>
    <w:p>
      <w:pPr>
        <w:autoSpaceDE w:val="0"/>
        <w:autoSpaceDN w:val="0"/>
        <w:adjustRightInd w:val="0"/>
        <w:ind w:left="3466" w:right="3469"/>
        <w:jc w:val="center"/>
        <w:rPr>
          <w:rFonts w:hint="eastAsia" w:ascii="宋体" w:hAnsi="宋体" w:eastAsia="宋体" w:cs="宋体"/>
          <w:kern w:val="0"/>
          <w:sz w:val="32"/>
          <w:szCs w:val="32"/>
        </w:rPr>
      </w:pPr>
      <w:r>
        <w:rPr>
          <w:rFonts w:hint="eastAsia" w:ascii="宋体" w:hAnsi="宋体" w:eastAsia="宋体" w:cs="宋体"/>
          <w:kern w:val="0"/>
          <w:sz w:val="32"/>
          <w:szCs w:val="32"/>
        </w:rPr>
        <w:t>2022</w:t>
      </w:r>
      <w:r>
        <w:rPr>
          <w:rFonts w:hint="eastAsia" w:ascii="宋体" w:hAnsi="宋体" w:eastAsia="宋体" w:cs="宋体"/>
          <w:kern w:val="0"/>
          <w:sz w:val="32"/>
          <w:szCs w:val="32"/>
          <w:lang w:val="en-US" w:eastAsia="zh-CN"/>
        </w:rPr>
        <w:t xml:space="preserve"> </w:t>
      </w:r>
      <w:r>
        <w:rPr>
          <w:rFonts w:hint="eastAsia" w:ascii="宋体" w:hAnsi="宋体" w:eastAsia="宋体" w:cs="宋体"/>
          <w:kern w:val="0"/>
          <w:sz w:val="32"/>
          <w:szCs w:val="32"/>
        </w:rPr>
        <w:t>年</w:t>
      </w:r>
      <w:r>
        <w:rPr>
          <w:rFonts w:hint="eastAsia" w:ascii="宋体" w:hAnsi="宋体" w:eastAsia="宋体" w:cs="宋体"/>
          <w:kern w:val="0"/>
          <w:sz w:val="32"/>
          <w:szCs w:val="32"/>
          <w:lang w:val="en-US" w:eastAsia="zh-CN"/>
        </w:rPr>
        <w:t xml:space="preserve"> 0</w:t>
      </w:r>
      <w:r>
        <w:rPr>
          <w:rFonts w:hint="eastAsia" w:ascii="宋体" w:hAnsi="宋体" w:eastAsia="宋体" w:cs="宋体"/>
          <w:spacing w:val="-3"/>
          <w:kern w:val="0"/>
          <w:sz w:val="32"/>
          <w:szCs w:val="32"/>
        </w:rPr>
        <w:t>3</w:t>
      </w:r>
      <w:r>
        <w:rPr>
          <w:rFonts w:hint="eastAsia" w:ascii="宋体" w:hAnsi="宋体" w:eastAsia="宋体" w:cs="宋体"/>
          <w:spacing w:val="-3"/>
          <w:kern w:val="0"/>
          <w:sz w:val="32"/>
          <w:szCs w:val="32"/>
          <w:lang w:val="en-US" w:eastAsia="zh-CN"/>
        </w:rPr>
        <w:t xml:space="preserve"> </w:t>
      </w:r>
      <w:r>
        <w:rPr>
          <w:rFonts w:hint="eastAsia" w:ascii="宋体" w:hAnsi="宋体" w:eastAsia="宋体" w:cs="宋体"/>
          <w:w w:val="99"/>
          <w:kern w:val="0"/>
          <w:sz w:val="32"/>
          <w:szCs w:val="32"/>
        </w:rPr>
        <w:t>月</w:t>
      </w:r>
    </w:p>
    <w:p>
      <w:pPr>
        <w:autoSpaceDE w:val="0"/>
        <w:autoSpaceDN w:val="0"/>
        <w:adjustRightInd w:val="0"/>
        <w:ind w:left="3466" w:right="3469"/>
        <w:jc w:val="center"/>
        <w:rPr>
          <w:rFonts w:hint="eastAsia" w:ascii="宋体" w:hAnsi="宋体" w:eastAsia="宋体" w:cs="宋体"/>
          <w:kern w:val="0"/>
          <w:sz w:val="32"/>
          <w:szCs w:val="32"/>
        </w:rPr>
        <w:sectPr>
          <w:footerReference r:id="rId3" w:type="default"/>
          <w:pgSz w:w="11920" w:h="16840"/>
          <w:pgMar w:top="1560" w:right="1440" w:bottom="280" w:left="1440" w:header="0" w:footer="757" w:gutter="0"/>
          <w:pgNumType w:fmt="upperRoman" w:start="1"/>
          <w:cols w:space="720" w:num="1"/>
        </w:sectPr>
      </w:pP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Microsoft JhengHei" w:hAnsi="Microsoft Tai Le" w:eastAsia="宋体" w:cs="Microsoft JhengHei"/>
          <w:kern w:val="0"/>
          <w:position w:val="-1"/>
          <w:sz w:val="32"/>
          <w:szCs w:val="32"/>
          <w:lang w:val="en-US" w:eastAsia="zh-CN"/>
        </w:rPr>
      </w:pPr>
      <w:r>
        <w:rPr>
          <w:rFonts w:hint="eastAsia" w:ascii="Microsoft JhengHei" w:hAnsi="Microsoft Tai Le" w:eastAsia="宋体" w:cs="Microsoft JhengHei"/>
          <w:kern w:val="0"/>
          <w:position w:val="-1"/>
          <w:sz w:val="32"/>
          <w:szCs w:val="32"/>
          <w:lang w:val="en-US" w:eastAsia="zh-CN"/>
        </w:rPr>
        <w:t>目录</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Microsoft JhengHei" w:hAnsi="Microsoft Tai Le" w:eastAsia="宋体" w:cs="Microsoft JhengHei"/>
          <w:kern w:val="0"/>
          <w:position w:val="-1"/>
          <w:sz w:val="32"/>
          <w:szCs w:val="32"/>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textAlignment w:val="auto"/>
        <w:rPr>
          <w:rFonts w:hint="eastAsia" w:ascii="宋体" w:hAnsi="宋体" w:eastAsia="宋体" w:cs="宋体"/>
          <w:kern w:val="0"/>
          <w:position w:val="-1"/>
          <w:sz w:val="28"/>
          <w:szCs w:val="28"/>
          <w:lang w:val="en-US" w:eastAsia="zh-CN"/>
        </w:rPr>
      </w:pPr>
      <w:r>
        <w:rPr>
          <w:rFonts w:hint="eastAsia" w:ascii="宋体" w:hAnsi="宋体" w:eastAsia="宋体" w:cs="宋体"/>
          <w:kern w:val="0"/>
          <w:position w:val="-1"/>
          <w:sz w:val="28"/>
          <w:szCs w:val="28"/>
          <w:lang w:val="en-US" w:eastAsia="zh-CN"/>
        </w:rPr>
        <w:t>任务来源.......................................................1</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textAlignment w:val="auto"/>
        <w:rPr>
          <w:rFonts w:hint="eastAsia" w:ascii="宋体" w:hAnsi="宋体" w:eastAsia="宋体" w:cs="宋体"/>
          <w:kern w:val="0"/>
          <w:position w:val="-1"/>
          <w:sz w:val="28"/>
          <w:szCs w:val="28"/>
          <w:lang w:val="en-US" w:eastAsia="zh-CN"/>
        </w:rPr>
      </w:pPr>
      <w:r>
        <w:rPr>
          <w:rFonts w:hint="eastAsia" w:ascii="宋体" w:hAnsi="宋体" w:eastAsia="宋体" w:cs="宋体"/>
          <w:kern w:val="0"/>
          <w:position w:val="-1"/>
          <w:sz w:val="28"/>
          <w:szCs w:val="28"/>
          <w:lang w:val="en-US" w:eastAsia="zh-CN"/>
        </w:rPr>
        <w:t>编制过程.......................................................1</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textAlignment w:val="auto"/>
        <w:rPr>
          <w:rFonts w:hint="eastAsia" w:ascii="宋体" w:hAnsi="宋体" w:eastAsia="宋体" w:cs="宋体"/>
          <w:kern w:val="0"/>
          <w:position w:val="-1"/>
          <w:sz w:val="28"/>
          <w:szCs w:val="28"/>
          <w:lang w:val="en-US" w:eastAsia="zh-CN"/>
        </w:rPr>
      </w:pPr>
      <w:r>
        <w:rPr>
          <w:rFonts w:hint="eastAsia" w:ascii="宋体" w:hAnsi="宋体" w:eastAsia="宋体" w:cs="宋体"/>
          <w:kern w:val="0"/>
          <w:position w:val="-1"/>
          <w:sz w:val="28"/>
          <w:szCs w:val="28"/>
          <w:lang w:val="en-US" w:eastAsia="zh-CN"/>
        </w:rPr>
        <w:t>行业概况.......................................................2</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textAlignment w:val="auto"/>
        <w:rPr>
          <w:rFonts w:hint="eastAsia" w:ascii="宋体" w:hAnsi="宋体" w:eastAsia="宋体" w:cs="宋体"/>
          <w:kern w:val="0"/>
          <w:position w:val="-1"/>
          <w:sz w:val="28"/>
          <w:szCs w:val="28"/>
          <w:lang w:val="en-US" w:eastAsia="zh-CN"/>
        </w:rPr>
      </w:pPr>
      <w:r>
        <w:rPr>
          <w:rFonts w:hint="eastAsia" w:ascii="宋体" w:hAnsi="宋体" w:eastAsia="宋体" w:cs="宋体"/>
          <w:kern w:val="0"/>
          <w:position w:val="-1"/>
          <w:sz w:val="28"/>
          <w:szCs w:val="28"/>
          <w:lang w:val="en-US" w:eastAsia="zh-CN"/>
        </w:rPr>
        <w:t>标准编制的意义.................................................3</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textAlignment w:val="auto"/>
        <w:rPr>
          <w:rFonts w:hint="eastAsia" w:ascii="宋体" w:hAnsi="宋体" w:eastAsia="宋体" w:cs="宋体"/>
          <w:kern w:val="0"/>
          <w:position w:val="-1"/>
          <w:sz w:val="28"/>
          <w:szCs w:val="28"/>
          <w:lang w:val="en-US" w:eastAsia="zh-CN"/>
        </w:rPr>
      </w:pPr>
      <w:r>
        <w:rPr>
          <w:rFonts w:hint="eastAsia" w:ascii="宋体" w:hAnsi="宋体" w:eastAsia="宋体" w:cs="宋体"/>
          <w:kern w:val="0"/>
          <w:position w:val="-1"/>
          <w:sz w:val="28"/>
          <w:szCs w:val="28"/>
          <w:lang w:val="en-US" w:eastAsia="zh-CN"/>
        </w:rPr>
        <w:t>编制方法及技术路线.............................................3</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textAlignment w:val="auto"/>
        <w:rPr>
          <w:rFonts w:hint="eastAsia" w:ascii="宋体" w:hAnsi="宋体" w:eastAsia="宋体" w:cs="宋体"/>
          <w:kern w:val="0"/>
          <w:position w:val="-1"/>
          <w:sz w:val="28"/>
          <w:szCs w:val="28"/>
          <w:lang w:val="en-US" w:eastAsia="zh-CN"/>
        </w:rPr>
      </w:pPr>
      <w:r>
        <w:rPr>
          <w:rFonts w:hint="eastAsia" w:ascii="宋体" w:hAnsi="宋体" w:eastAsia="宋体" w:cs="宋体"/>
          <w:kern w:val="0"/>
          <w:position w:val="-1"/>
          <w:sz w:val="28"/>
          <w:szCs w:val="28"/>
          <w:lang w:val="en-US" w:eastAsia="zh-CN"/>
        </w:rPr>
        <w:t>适用范围.......................................................5</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textAlignment w:val="auto"/>
        <w:rPr>
          <w:rFonts w:hint="eastAsia" w:ascii="宋体" w:hAnsi="宋体" w:eastAsia="宋体" w:cs="宋体"/>
          <w:kern w:val="0"/>
          <w:position w:val="-1"/>
          <w:sz w:val="28"/>
          <w:szCs w:val="28"/>
          <w:lang w:val="en-US" w:eastAsia="zh-CN"/>
        </w:rPr>
      </w:pPr>
      <w:r>
        <w:rPr>
          <w:rFonts w:hint="eastAsia" w:ascii="宋体" w:hAnsi="宋体" w:eastAsia="宋体" w:cs="宋体"/>
          <w:kern w:val="0"/>
          <w:position w:val="-1"/>
          <w:sz w:val="28"/>
          <w:szCs w:val="28"/>
          <w:lang w:val="en-US" w:eastAsia="zh-CN"/>
        </w:rPr>
        <w:t>编制依据及参考文献.............................................5</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textAlignment w:val="auto"/>
        <w:rPr>
          <w:rFonts w:hint="eastAsia" w:ascii="宋体" w:hAnsi="宋体" w:eastAsia="宋体" w:cs="宋体"/>
          <w:kern w:val="0"/>
          <w:position w:val="-1"/>
          <w:sz w:val="28"/>
          <w:szCs w:val="28"/>
          <w:lang w:val="en-US" w:eastAsia="zh-CN"/>
        </w:rPr>
      </w:pPr>
      <w:r>
        <w:rPr>
          <w:rFonts w:hint="eastAsia" w:ascii="宋体" w:hAnsi="宋体" w:eastAsia="宋体" w:cs="宋体"/>
          <w:kern w:val="0"/>
          <w:position w:val="-1"/>
          <w:sz w:val="28"/>
          <w:szCs w:val="28"/>
          <w:lang w:val="en-US" w:eastAsia="zh-CN"/>
        </w:rPr>
        <w:t>总则...........................................................7</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firstLine="0" w:firstLineChars="0"/>
        <w:textAlignment w:val="auto"/>
        <w:rPr>
          <w:rFonts w:hint="eastAsia" w:ascii="宋体" w:hAnsi="宋体" w:eastAsia="宋体" w:cs="宋体"/>
          <w:kern w:val="0"/>
          <w:position w:val="-1"/>
          <w:sz w:val="28"/>
          <w:szCs w:val="28"/>
          <w:lang w:val="en-US" w:eastAsia="zh-CN"/>
        </w:rPr>
      </w:pPr>
      <w:r>
        <w:rPr>
          <w:rFonts w:hint="eastAsia" w:ascii="宋体" w:hAnsi="宋体" w:eastAsia="宋体" w:cs="宋体"/>
          <w:kern w:val="0"/>
          <w:position w:val="-1"/>
          <w:sz w:val="28"/>
          <w:szCs w:val="28"/>
          <w:lang w:val="en-US" w:eastAsia="zh-CN"/>
        </w:rPr>
        <w:t>评价指标及要求.................................................7</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firstLine="0" w:firstLineChars="0"/>
        <w:textAlignment w:val="auto"/>
        <w:rPr>
          <w:rFonts w:hint="eastAsia" w:ascii="宋体" w:hAnsi="宋体" w:eastAsia="宋体" w:cs="宋体"/>
          <w:kern w:val="0"/>
          <w:position w:val="-1"/>
          <w:sz w:val="28"/>
          <w:szCs w:val="28"/>
          <w:lang w:val="en-US" w:eastAsia="zh-CN"/>
        </w:rPr>
      </w:pPr>
      <w:r>
        <w:rPr>
          <w:rFonts w:hint="eastAsia" w:ascii="宋体" w:hAnsi="宋体" w:eastAsia="宋体" w:cs="宋体"/>
          <w:kern w:val="0"/>
          <w:position w:val="-1"/>
          <w:sz w:val="28"/>
          <w:szCs w:val="28"/>
          <w:lang w:val="en-US" w:eastAsia="zh-CN"/>
        </w:rPr>
        <w:t>评价.........................................................10</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firstLine="0" w:firstLineChars="0"/>
        <w:textAlignment w:val="auto"/>
        <w:rPr>
          <w:rFonts w:hint="eastAsia" w:ascii="宋体" w:hAnsi="宋体" w:eastAsia="宋体" w:cs="宋体"/>
          <w:kern w:val="0"/>
          <w:position w:val="-1"/>
          <w:sz w:val="28"/>
          <w:szCs w:val="28"/>
          <w:lang w:val="en-US" w:eastAsia="zh-CN"/>
        </w:rPr>
      </w:pPr>
      <w:r>
        <w:rPr>
          <w:rFonts w:hint="eastAsia" w:ascii="宋体" w:hAnsi="宋体" w:eastAsia="宋体" w:cs="宋体"/>
          <w:kern w:val="0"/>
          <w:position w:val="-1"/>
          <w:sz w:val="28"/>
          <w:szCs w:val="28"/>
          <w:lang w:val="en-US" w:eastAsia="zh-CN"/>
        </w:rPr>
        <w:t>标准实施和可行性分析.........................................13</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firstLine="0" w:firstLineChars="0"/>
        <w:textAlignment w:val="auto"/>
        <w:rPr>
          <w:rFonts w:hint="eastAsia" w:ascii="宋体" w:hAnsi="宋体" w:eastAsia="宋体" w:cs="宋体"/>
          <w:kern w:val="0"/>
          <w:position w:val="-1"/>
          <w:sz w:val="28"/>
          <w:szCs w:val="28"/>
          <w:lang w:val="en-US" w:eastAsia="zh-CN"/>
        </w:rPr>
      </w:pPr>
      <w:r>
        <w:rPr>
          <w:rFonts w:hint="eastAsia" w:ascii="宋体" w:hAnsi="宋体" w:eastAsia="宋体" w:cs="宋体"/>
          <w:kern w:val="0"/>
          <w:position w:val="-1"/>
          <w:sz w:val="28"/>
          <w:szCs w:val="28"/>
          <w:lang w:val="en-US" w:eastAsia="zh-CN"/>
        </w:rPr>
        <w:t>与国家标准、行业标准等的协调性...............................13</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textAlignment w:val="auto"/>
        <w:rPr>
          <w:rFonts w:hint="default" w:ascii="宋体" w:hAnsi="宋体" w:eastAsia="宋体" w:cs="宋体"/>
          <w:kern w:val="0"/>
          <w:position w:val="-1"/>
          <w:sz w:val="28"/>
          <w:szCs w:val="28"/>
          <w:lang w:val="en-US" w:eastAsia="zh-CN"/>
        </w:rPr>
      </w:pPr>
      <w:r>
        <w:rPr>
          <w:rFonts w:hint="eastAsia" w:ascii="宋体" w:hAnsi="宋体" w:eastAsia="宋体" w:cs="宋体"/>
          <w:kern w:val="0"/>
          <w:position w:val="-1"/>
          <w:sz w:val="28"/>
          <w:szCs w:val="28"/>
          <w:lang w:val="en-US" w:eastAsia="zh-CN"/>
        </w:rPr>
        <w:t>附件1 标准起草组会议讨论意见汇总表.............</w:t>
      </w:r>
      <w:bookmarkStart w:id="4" w:name="_GoBack"/>
      <w:bookmarkEnd w:id="4"/>
      <w:r>
        <w:rPr>
          <w:rFonts w:hint="eastAsia" w:ascii="宋体" w:hAnsi="宋体" w:eastAsia="宋体" w:cs="宋体"/>
          <w:kern w:val="0"/>
          <w:position w:val="-1"/>
          <w:sz w:val="28"/>
          <w:szCs w:val="28"/>
          <w:lang w:val="en-US" w:eastAsia="zh-CN"/>
        </w:rPr>
        <w:t>.................14</w:t>
      </w:r>
    </w:p>
    <w:p>
      <w:pPr>
        <w:autoSpaceDE w:val="0"/>
        <w:autoSpaceDN w:val="0"/>
        <w:adjustRightInd w:val="0"/>
        <w:spacing w:before="120" w:beforeLines="50" w:after="120" w:afterLines="50" w:line="480" w:lineRule="exact"/>
        <w:jc w:val="left"/>
        <w:rPr>
          <w:rFonts w:hint="eastAsia" w:asciiTheme="minorEastAsia" w:hAnsiTheme="minorEastAsia" w:cstheme="minorEastAsia"/>
          <w:b/>
          <w:bCs/>
          <w:kern w:val="0"/>
          <w:position w:val="-2"/>
          <w:sz w:val="24"/>
          <w:szCs w:val="24"/>
        </w:rPr>
        <w:sectPr>
          <w:footerReference r:id="rId4" w:type="default"/>
          <w:pgSz w:w="11920" w:h="16840"/>
          <w:pgMar w:top="1320" w:right="1200" w:bottom="280" w:left="1300" w:header="0" w:footer="757" w:gutter="0"/>
          <w:pgNumType w:fmt="upperRoman"/>
          <w:cols w:space="720" w:num="1"/>
        </w:sectPr>
      </w:pPr>
    </w:p>
    <w:p>
      <w:pPr>
        <w:autoSpaceDE w:val="0"/>
        <w:autoSpaceDN w:val="0"/>
        <w:adjustRightInd w:val="0"/>
        <w:spacing w:before="120" w:beforeLines="50" w:after="120" w:afterLines="50" w:line="48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position w:val="-2"/>
          <w:sz w:val="24"/>
          <w:szCs w:val="24"/>
        </w:rPr>
        <w:t xml:space="preserve">1 </w:t>
      </w:r>
      <w:r>
        <w:rPr>
          <w:rFonts w:hint="eastAsia" w:asciiTheme="minorEastAsia" w:hAnsiTheme="minorEastAsia" w:cstheme="minorEastAsia"/>
          <w:b/>
          <w:bCs/>
          <w:spacing w:val="1"/>
          <w:kern w:val="0"/>
          <w:position w:val="-2"/>
          <w:sz w:val="24"/>
          <w:szCs w:val="24"/>
        </w:rPr>
        <w:t xml:space="preserve"> </w:t>
      </w:r>
      <w:r>
        <w:rPr>
          <w:rFonts w:hint="eastAsia" w:asciiTheme="minorEastAsia" w:hAnsiTheme="minorEastAsia" w:cstheme="minorEastAsia"/>
          <w:b/>
          <w:bCs/>
          <w:kern w:val="0"/>
          <w:position w:val="-2"/>
          <w:sz w:val="24"/>
          <w:szCs w:val="24"/>
        </w:rPr>
        <w:t>任务来源</w:t>
      </w:r>
    </w:p>
    <w:p>
      <w:pPr>
        <w:autoSpaceDE w:val="0"/>
        <w:autoSpaceDN w:val="0"/>
        <w:adjustRightInd w:val="0"/>
        <w:spacing w:before="11" w:line="480" w:lineRule="exact"/>
        <w:ind w:left="119" w:right="51" w:firstLine="420"/>
        <w:jc w:val="left"/>
        <w:rPr>
          <w:rFonts w:asciiTheme="minorEastAsia" w:hAnsiTheme="minorEastAsia" w:cstheme="minorEastAsia"/>
          <w:kern w:val="0"/>
          <w:sz w:val="24"/>
          <w:szCs w:val="24"/>
        </w:rPr>
      </w:pPr>
      <w:r>
        <w:rPr>
          <w:rFonts w:hint="eastAsia" w:asciiTheme="minorEastAsia" w:hAnsiTheme="minorEastAsia" w:cstheme="minorEastAsia"/>
          <w:sz w:val="24"/>
          <w:szCs w:val="24"/>
        </w:rPr>
        <w:t>《中国制造2025》将“全面推动绿色制造”作为九大战略重点和任务之一，并提出“制定绿色产品、绿色工厂、绿色园区、绿色企业标准体系、开展绿色评价。”的要求。 2015年，中共中央国务院印发《生态文明体制改革总体方案》，提出以“绿色发展、循环发展、低碳发展”为方向，建立统一的绿色产品标准、认证、标识等体系。</w:t>
      </w:r>
    </w:p>
    <w:p>
      <w:pPr>
        <w:autoSpaceDE w:val="0"/>
        <w:autoSpaceDN w:val="0"/>
        <w:adjustRightInd w:val="0"/>
        <w:spacing w:before="11"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我国目前是世界范围内具有影响力的工业大国，随着我国的工业实力不断增强，资源环境问题日益突出。目前工业部和信息化部已经出台了《绿色工厂评价通则》，为我国绿色工厂的建设提供了标准性指导。但具体到各行业来看，统一的通则并不能完全满足每个行业的需求。因此，针对不同行业，应有相对应的专用指导性绿色工厂标准。复合肥料行业作为传统化工行业，生产规模大，</w:t>
      </w:r>
      <w:r>
        <w:rPr>
          <w:rFonts w:hint="eastAsia" w:asciiTheme="minorEastAsia" w:hAnsiTheme="minorEastAsia" w:cstheme="minorEastAsia"/>
          <w:sz w:val="24"/>
          <w:szCs w:val="24"/>
          <w:lang w:val="en-US" w:eastAsia="zh-CN"/>
        </w:rPr>
        <w:t>生产企业</w:t>
      </w:r>
      <w:r>
        <w:rPr>
          <w:rFonts w:hint="eastAsia" w:asciiTheme="minorEastAsia" w:hAnsiTheme="minorEastAsia" w:cstheme="minorEastAsia"/>
          <w:sz w:val="24"/>
          <w:szCs w:val="24"/>
        </w:rPr>
        <w:t>多，制订专用化标准存在必要性。</w:t>
      </w:r>
    </w:p>
    <w:p>
      <w:pPr>
        <w:autoSpaceDE w:val="0"/>
        <w:autoSpaceDN w:val="0"/>
        <w:adjustRightInd w:val="0"/>
        <w:spacing w:before="11"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根据2021年9月6日工业和信息化部节能与综合利用司发布“2021年度工业节能与绿色标准研究项目公示”的内容，《复合肥料绿色工厂评价要求》标准列入2021年第五批行业标准编制计划，项目编号：2021-1732T-HG。</w:t>
      </w:r>
    </w:p>
    <w:p>
      <w:pPr>
        <w:autoSpaceDE w:val="0"/>
        <w:autoSpaceDN w:val="0"/>
        <w:adjustRightInd w:val="0"/>
        <w:spacing w:before="120" w:beforeLines="50" w:after="120" w:afterLines="50" w:line="480" w:lineRule="exact"/>
        <w:jc w:val="left"/>
        <w:rPr>
          <w:rFonts w:asciiTheme="minorEastAsia" w:hAnsiTheme="minorEastAsia" w:cstheme="minorEastAsia"/>
          <w:b/>
          <w:bCs/>
          <w:kern w:val="0"/>
          <w:position w:val="-2"/>
          <w:sz w:val="24"/>
          <w:szCs w:val="24"/>
        </w:rPr>
      </w:pPr>
      <w:r>
        <w:rPr>
          <w:rFonts w:hint="eastAsia" w:asciiTheme="minorEastAsia" w:hAnsiTheme="minorEastAsia" w:cstheme="minorEastAsia"/>
          <w:b/>
          <w:bCs/>
          <w:kern w:val="0"/>
          <w:position w:val="-2"/>
          <w:sz w:val="24"/>
          <w:szCs w:val="24"/>
        </w:rPr>
        <w:t>2  编制过程</w:t>
      </w:r>
    </w:p>
    <w:p>
      <w:pPr>
        <w:autoSpaceDE w:val="0"/>
        <w:autoSpaceDN w:val="0"/>
        <w:adjustRightIn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本标准在广泛收集国内外复合肥行业环境保护、清洁生产相关的政策、法律法规、标准等文献，广泛征求国内企业的意见，结合我国复合肥行业技术、清洁生产和环保的现状，进行全面系统研究整理的基础上，完成了本标准编制工作。具体编制过程如下：</w:t>
      </w:r>
    </w:p>
    <w:p>
      <w:pPr>
        <w:autoSpaceDE w:val="0"/>
        <w:autoSpaceDN w:val="0"/>
        <w:adjustRightIn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根据2021年9月6日工业和信息化部节能与综合利用司发布“2021年度工业节能与绿色标准研究项目公示”的内容，《复合肥料绿色工厂评价要求》标准列入2021年第五批行业标准编制计划，2021年9月27日参加了工业和信息化部节能与综合利用司组织的《复合肥料绿色工厂评价要求》标准立项答辩，项目正式立项，项目编号：2021-1732T-HG。通过立项后，立即按照标准制定程序要求，成立了起草小组，本行业标准的起草小组包含上海化工研究</w:t>
      </w:r>
      <w:r>
        <w:rPr>
          <w:rFonts w:hint="eastAsia" w:asciiTheme="minorEastAsia" w:hAnsiTheme="minorEastAsia" w:cstheme="minorEastAsia"/>
          <w:sz w:val="24"/>
          <w:szCs w:val="24"/>
          <w:lang w:val="en-US" w:eastAsia="zh-CN"/>
        </w:rPr>
        <w:t>院</w:t>
      </w:r>
      <w:r>
        <w:rPr>
          <w:rFonts w:hint="eastAsia" w:asciiTheme="minorEastAsia" w:hAnsiTheme="minorEastAsia" w:cstheme="minorEastAsia"/>
          <w:sz w:val="24"/>
          <w:szCs w:val="24"/>
        </w:rPr>
        <w:t>有限公司副总经理商照聪、国家化肥质量检验检测中心（上海）总工程师杨一、上海化工院检测有限公司副总经理房朋、史丹利农业集团股份有限公司技术总监徐勤政、新洋丰农业科技股份有限公司副总裁陈宏坤、</w:t>
      </w:r>
      <w:bookmarkStart w:id="0" w:name="_Hlk98147325"/>
      <w:r>
        <w:rPr>
          <w:rFonts w:hint="eastAsia" w:asciiTheme="minorEastAsia" w:hAnsiTheme="minorEastAsia" w:cstheme="minorEastAsia"/>
          <w:sz w:val="24"/>
          <w:szCs w:val="24"/>
        </w:rPr>
        <w:t>中国-阿拉伯化肥有限公司</w:t>
      </w:r>
      <w:bookmarkEnd w:id="0"/>
      <w:r>
        <w:rPr>
          <w:rFonts w:hint="eastAsia" w:asciiTheme="minorEastAsia" w:hAnsiTheme="minorEastAsia" w:cstheme="minorEastAsia"/>
          <w:sz w:val="24"/>
          <w:szCs w:val="24"/>
        </w:rPr>
        <w:t>高级工程师王连军、温岭市泽国化工机械有限公司总工程师段伟等。2021年11月，上海化工研究院有限公司（标准负责起草单位）就行业标准文本向全国行业内相关企业进行征求意见，主要征集了了</w:t>
      </w:r>
      <w:bookmarkStart w:id="1" w:name="_Hlk98147100"/>
      <w:r>
        <w:rPr>
          <w:rFonts w:hint="eastAsia" w:asciiTheme="minorEastAsia" w:hAnsiTheme="minorEastAsia" w:cstheme="minorEastAsia"/>
          <w:sz w:val="24"/>
          <w:szCs w:val="24"/>
        </w:rPr>
        <w:t>史丹利农业集团股份有限公司、中国-阿拉伯化肥有限公司、新洋丰农业科技股份有限公司、黑龙江爱农复合肥料有限公司、中国磷复肥工业协会、山东省化肥总公司、江西开门子肥业集团有限公司、云南云天化股份有限公司、贵州磷化（集团）有限责任公司、山东金正大生态工程股份有限公司、湖北三宁化工股份有限公司等单位</w:t>
      </w:r>
      <w:bookmarkEnd w:id="1"/>
      <w:r>
        <w:rPr>
          <w:rFonts w:hint="eastAsia" w:asciiTheme="minorEastAsia" w:hAnsiTheme="minorEastAsia" w:cstheme="minorEastAsia"/>
          <w:sz w:val="24"/>
          <w:szCs w:val="24"/>
        </w:rPr>
        <w:t>的意见建议。2022年3月份，上海化工研究院有限公司通过腾讯会议APP召开了线上专家组扩大会议，在会上专家组成员和工作组就该标准进行了专题讨论，经充分讨论，采纳并确定了部分文本内容修改的意见建议，并最终形成行业标准的征求意见稿。</w:t>
      </w:r>
    </w:p>
    <w:p>
      <w:pPr>
        <w:autoSpaceDE w:val="0"/>
        <w:autoSpaceDN w:val="0"/>
        <w:adjustRightInd w:val="0"/>
        <w:spacing w:before="120" w:beforeLines="50" w:after="120" w:afterLines="50" w:line="480" w:lineRule="exact"/>
        <w:jc w:val="left"/>
        <w:rPr>
          <w:rFonts w:ascii="宋体" w:hAnsi="宋体" w:eastAsia="宋体" w:cs="宋体"/>
          <w:kern w:val="0"/>
          <w:szCs w:val="21"/>
        </w:rPr>
      </w:pPr>
      <w:r>
        <w:rPr>
          <w:rFonts w:hint="eastAsia" w:asciiTheme="minorEastAsia" w:hAnsiTheme="minorEastAsia" w:cstheme="minorEastAsia"/>
          <w:b/>
          <w:bCs/>
          <w:kern w:val="0"/>
          <w:position w:val="-2"/>
          <w:sz w:val="24"/>
          <w:szCs w:val="24"/>
        </w:rPr>
        <w:t>3  行业概况</w:t>
      </w:r>
    </w:p>
    <w:p>
      <w:pPr>
        <w:autoSpaceDE w:val="0"/>
        <w:autoSpaceDN w:val="0"/>
        <w:adjustRightInd w:val="0"/>
        <w:spacing w:before="120" w:beforeLines="50" w:after="120" w:afterLines="50" w:line="480" w:lineRule="exact"/>
        <w:jc w:val="left"/>
        <w:rPr>
          <w:rFonts w:ascii="宋体" w:hAnsi="宋体" w:eastAsia="宋体" w:cs="宋体"/>
          <w:kern w:val="0"/>
          <w:szCs w:val="21"/>
        </w:rPr>
      </w:pPr>
      <w:r>
        <w:rPr>
          <w:rFonts w:hint="eastAsia" w:asciiTheme="minorEastAsia" w:hAnsiTheme="minorEastAsia" w:cstheme="minorEastAsia"/>
          <w:b/>
          <w:bCs/>
          <w:kern w:val="0"/>
          <w:position w:val="-2"/>
          <w:sz w:val="24"/>
          <w:szCs w:val="24"/>
        </w:rPr>
        <w:t>3.1   行业发展现状</w:t>
      </w:r>
    </w:p>
    <w:p>
      <w:pPr>
        <w:autoSpaceDE w:val="0"/>
        <w:autoSpaceDN w:val="0"/>
        <w:adjustRightIn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复合肥料是指含有两种或两种以上营养元素的肥料，复合肥料具有养分含量高、副成分少且物理性状好等优点，对于平衡施肥，提高肥料利用率，促进作物的高产稳产有着十分重要的作用。</w:t>
      </w:r>
    </w:p>
    <w:p>
      <w:pPr>
        <w:autoSpaceDE w:val="0"/>
        <w:autoSpaceDN w:val="0"/>
        <w:adjustRightIn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截至20</w:t>
      </w:r>
      <w:r>
        <w:rPr>
          <w:rFonts w:asciiTheme="minorEastAsia" w:hAnsiTheme="minorEastAsia" w:cstheme="minorEastAsia"/>
          <w:sz w:val="24"/>
          <w:szCs w:val="24"/>
        </w:rPr>
        <w:t>21</w:t>
      </w:r>
      <w:r>
        <w:rPr>
          <w:rFonts w:hint="eastAsia" w:asciiTheme="minorEastAsia" w:hAnsiTheme="minorEastAsia" w:cstheme="minorEastAsia"/>
          <w:sz w:val="24"/>
          <w:szCs w:val="24"/>
        </w:rPr>
        <w:t>年底，我国复合肥料行业企业</w:t>
      </w:r>
      <w:r>
        <w:rPr>
          <w:rFonts w:asciiTheme="minorEastAsia" w:hAnsiTheme="minorEastAsia" w:cstheme="minorEastAsia"/>
          <w:sz w:val="24"/>
          <w:szCs w:val="24"/>
        </w:rPr>
        <w:t>3</w:t>
      </w:r>
      <w:r>
        <w:rPr>
          <w:rFonts w:hint="eastAsia" w:asciiTheme="minorEastAsia" w:hAnsiTheme="minorEastAsia" w:cstheme="minorEastAsia"/>
          <w:sz w:val="24"/>
          <w:szCs w:val="24"/>
        </w:rPr>
        <w:t>000多家，年产能更是超过</w:t>
      </w:r>
      <w:r>
        <w:rPr>
          <w:rFonts w:asciiTheme="minorEastAsia" w:hAnsiTheme="minorEastAsia" w:cstheme="minorEastAsia"/>
          <w:sz w:val="24"/>
          <w:szCs w:val="24"/>
        </w:rPr>
        <w:t>2</w:t>
      </w:r>
      <w:r>
        <w:rPr>
          <w:rFonts w:hint="eastAsia" w:asciiTheme="minorEastAsia" w:hAnsiTheme="minorEastAsia" w:cstheme="minorEastAsia"/>
          <w:sz w:val="24"/>
          <w:szCs w:val="24"/>
        </w:rPr>
        <w:t>亿吨，实际产量超过5</w:t>
      </w:r>
      <w:r>
        <w:rPr>
          <w:rFonts w:asciiTheme="minorEastAsia" w:hAnsiTheme="minorEastAsia" w:cstheme="minorEastAsia"/>
          <w:sz w:val="24"/>
          <w:szCs w:val="24"/>
        </w:rPr>
        <w:t>500</w:t>
      </w:r>
      <w:r>
        <w:rPr>
          <w:rFonts w:hint="eastAsia" w:asciiTheme="minorEastAsia" w:hAnsiTheme="minorEastAsia" w:cstheme="minorEastAsia"/>
          <w:sz w:val="24"/>
          <w:szCs w:val="24"/>
        </w:rPr>
        <w:t>万吨，消费量约为5</w:t>
      </w:r>
      <w:r>
        <w:rPr>
          <w:rFonts w:asciiTheme="minorEastAsia" w:hAnsiTheme="minorEastAsia" w:cstheme="minorEastAsia"/>
          <w:sz w:val="24"/>
          <w:szCs w:val="24"/>
        </w:rPr>
        <w:t>500</w:t>
      </w:r>
      <w:r>
        <w:rPr>
          <w:rFonts w:hint="eastAsia" w:asciiTheme="minorEastAsia" w:hAnsiTheme="minorEastAsia" w:cstheme="minorEastAsia"/>
          <w:sz w:val="24"/>
          <w:szCs w:val="24"/>
        </w:rPr>
        <w:t>万吨。复合肥料的生产对于我国农业具有重要的支撑作用。</w:t>
      </w:r>
    </w:p>
    <w:p>
      <w:pPr>
        <w:autoSpaceDE w:val="0"/>
        <w:autoSpaceDN w:val="0"/>
        <w:adjustRightInd w:val="0"/>
        <w:spacing w:line="480" w:lineRule="exact"/>
        <w:ind w:firstLine="480" w:firstLineChars="200"/>
        <w:jc w:val="left"/>
        <w:rPr>
          <w:rFonts w:ascii="宋体" w:hAnsi="宋体" w:eastAsia="宋体" w:cs="宋体"/>
          <w:kern w:val="0"/>
          <w:szCs w:val="21"/>
        </w:rPr>
      </w:pPr>
      <w:r>
        <w:rPr>
          <w:rFonts w:hint="eastAsia" w:asciiTheme="minorEastAsia" w:hAnsiTheme="minorEastAsia" w:cstheme="minorEastAsia"/>
          <w:sz w:val="24"/>
          <w:szCs w:val="24"/>
        </w:rPr>
        <w:t>在复合肥料的化工生产过程中，建筑的用材和结构的不合理，工厂的基础设备能耗过度等现象屡见不鲜，生产过程中的过度生产和排污不当等问题也会持续造成空气污染、水污染以及土地污染等环境问题。且目前大多数工厂缺乏合理完整的绿色生态管理体系。我国作为有影响力的工业大国，随着我国的工业实力不断增强，资源环境问题也日益突出。目前工业部和信息化部已经出台了《绿色工厂评价通则》，为我国绿色工厂的建设提供了标准性指导。但具体到各行业来看，统一的通则并不能完全满足每个行业的需求。因此，针对不同行业，应有相对应的专用指导性绿色工厂标准。复合肥料行业作为传统化工行业，生产规模大，制备厂家多，制订专用化标准存在必要性。</w:t>
      </w:r>
    </w:p>
    <w:p>
      <w:pPr>
        <w:autoSpaceDE w:val="0"/>
        <w:autoSpaceDN w:val="0"/>
        <w:adjustRightInd w:val="0"/>
        <w:spacing w:before="120" w:beforeLines="50" w:after="120" w:afterLines="50" w:line="480" w:lineRule="exact"/>
        <w:jc w:val="left"/>
        <w:rPr>
          <w:rFonts w:asciiTheme="minorEastAsia" w:hAnsiTheme="minorEastAsia" w:cstheme="minorEastAsia"/>
          <w:b/>
          <w:bCs/>
          <w:kern w:val="0"/>
          <w:position w:val="-2"/>
          <w:sz w:val="24"/>
          <w:szCs w:val="24"/>
        </w:rPr>
      </w:pPr>
      <w:r>
        <w:rPr>
          <w:rFonts w:hint="eastAsia" w:asciiTheme="minorEastAsia" w:hAnsiTheme="minorEastAsia" w:cstheme="minorEastAsia"/>
          <w:b/>
          <w:bCs/>
          <w:kern w:val="0"/>
          <w:position w:val="-2"/>
          <w:sz w:val="24"/>
          <w:szCs w:val="24"/>
        </w:rPr>
        <w:t>3.2   行业存在主要问题</w:t>
      </w:r>
    </w:p>
    <w:p>
      <w:pPr>
        <w:autoSpaceDE w:val="0"/>
        <w:autoSpaceDN w:val="0"/>
        <w:adjustRightIn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（1）产能过剩；</w:t>
      </w:r>
    </w:p>
    <w:p>
      <w:pPr>
        <w:autoSpaceDE w:val="0"/>
        <w:autoSpaceDN w:val="0"/>
        <w:adjustRightIn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（2）设备能耗过度；</w:t>
      </w:r>
    </w:p>
    <w:p>
      <w:pPr>
        <w:autoSpaceDE w:val="0"/>
        <w:autoSpaceDN w:val="0"/>
        <w:adjustRightIn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（3）需节能减排；</w:t>
      </w:r>
    </w:p>
    <w:p>
      <w:pPr>
        <w:autoSpaceDE w:val="0"/>
        <w:autoSpaceDN w:val="0"/>
        <w:adjustRightIn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（4）原料损耗过多；</w:t>
      </w:r>
    </w:p>
    <w:p>
      <w:pPr>
        <w:autoSpaceDE w:val="0"/>
        <w:autoSpaceDN w:val="0"/>
        <w:adjustRightInd w:val="0"/>
        <w:spacing w:line="480" w:lineRule="exact"/>
        <w:ind w:firstLine="480" w:firstLineChars="200"/>
        <w:jc w:val="left"/>
        <w:rPr>
          <w:rFonts w:ascii="宋体" w:hAnsi="宋体" w:eastAsia="宋体" w:cs="宋体"/>
          <w:kern w:val="0"/>
          <w:szCs w:val="21"/>
        </w:rPr>
      </w:pPr>
      <w:r>
        <w:rPr>
          <w:rFonts w:hint="eastAsia" w:asciiTheme="minorEastAsia" w:hAnsiTheme="minorEastAsia" w:cstheme="minorEastAsia"/>
          <w:sz w:val="24"/>
          <w:szCs w:val="24"/>
        </w:rPr>
        <w:t>（5）技术创新能力有待进一步提升。</w:t>
      </w:r>
    </w:p>
    <w:p>
      <w:pPr>
        <w:autoSpaceDE w:val="0"/>
        <w:autoSpaceDN w:val="0"/>
        <w:adjustRightInd w:val="0"/>
        <w:spacing w:before="120" w:beforeLines="50" w:after="120" w:afterLines="50" w:line="480" w:lineRule="exact"/>
        <w:jc w:val="left"/>
        <w:rPr>
          <w:rFonts w:ascii="宋体" w:hAnsi="宋体" w:eastAsia="宋体" w:cs="宋体"/>
          <w:kern w:val="0"/>
          <w:szCs w:val="21"/>
        </w:rPr>
      </w:pPr>
      <w:r>
        <w:rPr>
          <w:rFonts w:hint="eastAsia" w:asciiTheme="minorEastAsia" w:hAnsiTheme="minorEastAsia" w:cstheme="minorEastAsia"/>
          <w:b/>
          <w:bCs/>
          <w:kern w:val="0"/>
          <w:position w:val="-2"/>
          <w:sz w:val="24"/>
          <w:szCs w:val="24"/>
        </w:rPr>
        <w:t>3.3   行业发展趋势</w:t>
      </w:r>
    </w:p>
    <w:p>
      <w:pPr>
        <w:autoSpaceDE w:val="0"/>
        <w:autoSpaceDN w:val="0"/>
        <w:adjustRightIn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复合肥料的生产对于我国农业具有重要的支撑作用。我国作为农业大国，对复合肥料依赖性强。我国对于复合肥料的施用量基本每年在2200万吨以上（折纯量），换算成复合肥料产品约5500万吨。从行业发展趋势上来看，我国对于复合肥料的需求量是很大的，复合肥料是粮食产量的重要保障因素，从而关系着国家民生问题，所以确保复合肥料的供应量是极为重要的。</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但现今复合肥料行业目前面临生产过程用能</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rPr>
        <w:t>尾气排放等方面不合理现象。</w:t>
      </w:r>
      <w:r>
        <w:rPr>
          <w:rFonts w:hint="eastAsia"/>
          <w:sz w:val="24"/>
        </w:rPr>
        <w:t>通过制定《复合肥料行业绿色工厂评价要求》行业标准，对复合肥料行业提出了绿色、环保相关的技术要求，引导用能单位达到绿色工厂的标准，并逐步淘汰行业落后产能，是有利于规范肥料生产厂家，使生产可持续，有利于农业大环境转向良性循环，也是符合行业未来发展趋势的。</w:t>
      </w:r>
    </w:p>
    <w:p>
      <w:pPr>
        <w:autoSpaceDE w:val="0"/>
        <w:autoSpaceDN w:val="0"/>
        <w:adjustRightInd w:val="0"/>
        <w:spacing w:before="120" w:beforeLines="50" w:after="120" w:afterLines="50" w:line="480" w:lineRule="exact"/>
        <w:jc w:val="left"/>
        <w:rPr>
          <w:rFonts w:ascii="宋体" w:hAnsi="宋体" w:eastAsia="宋体" w:cs="宋体"/>
          <w:kern w:val="0"/>
          <w:szCs w:val="21"/>
        </w:rPr>
      </w:pPr>
      <w:r>
        <w:rPr>
          <w:rFonts w:hint="eastAsia" w:asciiTheme="minorEastAsia" w:hAnsiTheme="minorEastAsia" w:cstheme="minorEastAsia"/>
          <w:b/>
          <w:bCs/>
          <w:kern w:val="0"/>
          <w:position w:val="-2"/>
          <w:sz w:val="24"/>
          <w:szCs w:val="24"/>
        </w:rPr>
        <w:t>4  标准编制的意义</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我国目前是世界范围内具有影响力的工业大国，随着我国的工业实力不断增强，资源环境问题日益突出。目前工业部和信息化部已经出台了《绿色工厂评价通则》，为我国绿色工厂的建设提供了标准性指导。但具体到各行业来看，统一的通则并不能完全满足每个行业的需求。因此，针对不同行业，应有相对应的专用指导性绿色工厂标准。复合肥料行业作为传统化工行业，生产规模大，制备厂家多，制订专用化标准存在必要性。</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工厂是推进绿色发展、实施绿色制造的主体。预期建立一套切实可行的操作方法。通过复合肥料生产企业基础设施、管理体系、能源与资源投入、产品、环境排放、绩效等方面对生产企业进行评价。指导企业科学、绿色化生产。同时推动复合肥料生产企业建立绿色工厂，是符合国家发展战略方向，同时可以从侧面减少复合肥料行业生产的盲目扩张；并提高产品生产质量、产品生产过程有序、科学、环保。</w:t>
      </w:r>
    </w:p>
    <w:p>
      <w:pPr>
        <w:adjustRightInd w:val="0"/>
        <w:snapToGrid w:val="0"/>
        <w:spacing w:line="480" w:lineRule="exact"/>
        <w:ind w:firstLine="480" w:firstLineChars="200"/>
        <w:jc w:val="left"/>
        <w:rPr>
          <w:rFonts w:ascii="宋体" w:hAnsi="宋体" w:eastAsia="宋体" w:cs="宋体"/>
          <w:kern w:val="0"/>
          <w:szCs w:val="21"/>
        </w:rPr>
      </w:pPr>
      <w:r>
        <w:rPr>
          <w:rFonts w:hint="eastAsia" w:asciiTheme="minorEastAsia" w:hAnsiTheme="minorEastAsia" w:cstheme="minorEastAsia"/>
          <w:sz w:val="24"/>
          <w:szCs w:val="24"/>
        </w:rPr>
        <w:t>本标准首次将绿色工厂的概念及实施导向推广到复合肥料生产中去；首次明确了复合肥料行业的绿色工厂评价原则、指标和要求，使我国复合肥料生产企业在生产过程中更科学、更合理、更环保、更绿色。</w:t>
      </w:r>
    </w:p>
    <w:p>
      <w:pPr>
        <w:autoSpaceDE w:val="0"/>
        <w:autoSpaceDN w:val="0"/>
        <w:adjustRightInd w:val="0"/>
        <w:spacing w:before="120" w:beforeLines="50" w:after="120" w:afterLines="50" w:line="480" w:lineRule="exact"/>
        <w:jc w:val="left"/>
        <w:rPr>
          <w:rFonts w:ascii="宋体" w:hAnsi="宋体" w:eastAsia="宋体" w:cs="宋体"/>
          <w:kern w:val="0"/>
          <w:szCs w:val="21"/>
        </w:rPr>
      </w:pPr>
      <w:r>
        <w:rPr>
          <w:rFonts w:hint="eastAsia" w:asciiTheme="minorEastAsia" w:hAnsiTheme="minorEastAsia" w:cstheme="minorEastAsia"/>
          <w:b/>
          <w:bCs/>
          <w:kern w:val="0"/>
          <w:position w:val="-2"/>
          <w:sz w:val="24"/>
          <w:szCs w:val="24"/>
        </w:rPr>
        <w:t>5  编制方法及技术路线</w:t>
      </w:r>
    </w:p>
    <w:p>
      <w:pPr>
        <w:autoSpaceDE w:val="0"/>
        <w:autoSpaceDN w:val="0"/>
        <w:adjustRightInd w:val="0"/>
        <w:spacing w:before="120" w:beforeLines="50" w:after="120" w:afterLines="50" w:line="480" w:lineRule="exact"/>
        <w:jc w:val="left"/>
        <w:rPr>
          <w:rFonts w:ascii="宋体" w:hAnsi="宋体" w:eastAsia="宋体" w:cs="宋体"/>
          <w:kern w:val="0"/>
          <w:szCs w:val="21"/>
        </w:rPr>
      </w:pPr>
      <w:r>
        <w:rPr>
          <w:rFonts w:hint="eastAsia" w:asciiTheme="minorEastAsia" w:hAnsiTheme="minorEastAsia" w:cstheme="minorEastAsia"/>
          <w:b/>
          <w:bCs/>
          <w:kern w:val="0"/>
          <w:position w:val="-2"/>
          <w:sz w:val="24"/>
          <w:szCs w:val="24"/>
        </w:rPr>
        <w:t>5.1 编制方法</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首先，选择相关专业人员成立标准编制组，聘请行业专家成立专家指导组。并根据计划要求、专家意见以及通则要求制定具体的实施方案。</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其次，广泛收集国内外复合肥料生产制造过程相关的政策、法律法规、技术文献；通过组织行业会议、发放调查表和典型企业现场调研等多种途径了解我国复合肥料生产企业的现状，总结经验、 发现问题、明确目标；结合复合肥料生产企业的特点搭建标准框架、细化编写内容。</w:t>
      </w:r>
    </w:p>
    <w:p>
      <w:pPr>
        <w:adjustRightInd w:val="0"/>
        <w:snapToGrid w:val="0"/>
        <w:spacing w:line="480" w:lineRule="exact"/>
        <w:ind w:firstLine="480" w:firstLineChars="200"/>
        <w:jc w:val="left"/>
        <w:rPr>
          <w:rFonts w:ascii="微软雅黑" w:hAnsi="Times New Roman" w:eastAsia="微软雅黑" w:cs="微软雅黑"/>
          <w:kern w:val="0"/>
          <w:sz w:val="28"/>
          <w:szCs w:val="28"/>
        </w:rPr>
      </w:pPr>
      <w:r>
        <w:rPr>
          <w:rFonts w:hint="eastAsia" w:asciiTheme="minorEastAsia" w:hAnsiTheme="minorEastAsia" w:cstheme="minorEastAsia"/>
          <w:sz w:val="24"/>
          <w:szCs w:val="24"/>
        </w:rPr>
        <w:t>然后，在上述工作的基础上，编写标准文本。根据工作进程分阶段征求企业、专家的意见和建议，对标准文本进行修改。 目前，形成标准征求意见稿，广泛征求行业各方意见，进一步修改完善。</w:t>
      </w:r>
    </w:p>
    <w:p>
      <w:pPr>
        <w:autoSpaceDE w:val="0"/>
        <w:autoSpaceDN w:val="0"/>
        <w:adjustRightInd w:val="0"/>
        <w:spacing w:before="120" w:beforeLines="50" w:after="120" w:afterLines="50" w:line="480" w:lineRule="exact"/>
        <w:jc w:val="left"/>
        <w:rPr>
          <w:rFonts w:ascii="Microsoft JhengHei" w:hAnsi="Times New Roman" w:eastAsia="Microsoft JhengHei" w:cs="Microsoft JhengHei"/>
          <w:kern w:val="0"/>
          <w:sz w:val="28"/>
          <w:szCs w:val="28"/>
        </w:rPr>
      </w:pPr>
      <w:r>
        <w:rPr>
          <w:rFonts w:hint="eastAsia" w:asciiTheme="minorEastAsia" w:hAnsiTheme="minorEastAsia" w:cstheme="minorEastAsia"/>
          <w:b/>
          <w:bCs/>
          <w:kern w:val="0"/>
          <w:position w:val="-2"/>
          <w:sz w:val="24"/>
          <w:szCs w:val="24"/>
        </w:rPr>
        <w:t>5.2 技术路线</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在进行调研的基础上，获取国内外复合肥料行业设备及生产工艺、污染物处理技术和污染物排放控制标准，进而拟定设备生产要求，工艺的改革更新标准，污染物排放控制项目和限值，用地集约化、生产洁净化、废物资源化和能源低碳化的绩效指标。在进一步实地考察和专家评议基础上， 完成复合肥料行业绿色工厂标准</w:t>
      </w:r>
      <w:bookmarkStart w:id="2" w:name="_Hlk98155112"/>
      <w:r>
        <w:rPr>
          <w:rFonts w:hint="eastAsia" w:asciiTheme="minorEastAsia" w:hAnsiTheme="minorEastAsia" w:cstheme="minorEastAsia"/>
          <w:sz w:val="24"/>
          <w:szCs w:val="24"/>
        </w:rPr>
        <w:t>的征求意见稿，经过意见汇总修改后形成送审稿，再经专家会议审查，最后形成报批稿。</w:t>
      </w:r>
      <w:bookmarkEnd w:id="2"/>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具体技术路线图如下：</w:t>
      </w:r>
    </w:p>
    <w:p>
      <w:pPr>
        <w:autoSpaceDE w:val="0"/>
        <w:autoSpaceDN w:val="0"/>
        <w:adjustRightInd w:val="0"/>
        <w:spacing w:before="5" w:line="100" w:lineRule="exact"/>
        <w:jc w:val="left"/>
        <w:rPr>
          <w:rFonts w:ascii="微软雅黑" w:hAnsi="Times New Roman" w:eastAsia="微软雅黑" w:cs="微软雅黑"/>
          <w:kern w:val="0"/>
          <w:sz w:val="10"/>
          <w:szCs w:val="10"/>
        </w:rPr>
      </w:pPr>
    </w:p>
    <w:p>
      <w:pPr>
        <w:adjustRightInd w:val="0"/>
        <w:snapToGrid w:val="0"/>
        <w:spacing w:line="360" w:lineRule="auto"/>
        <w:jc w:val="center"/>
        <w:rPr>
          <w:rFonts w:ascii="Microsoft JhengHei" w:hAnsi="Times New Roman" w:eastAsia="Microsoft JhengHei" w:cs="Microsoft JhengHei"/>
          <w:kern w:val="0"/>
          <w:sz w:val="20"/>
          <w:szCs w:val="20"/>
        </w:rPr>
      </w:pPr>
      <w:r>
        <w:rPr>
          <w:rFonts w:hint="eastAsia" w:asciiTheme="minorEastAsia" w:hAnsiTheme="minorEastAsia" w:cstheme="minorEastAsia"/>
          <w:sz w:val="24"/>
          <w:szCs w:val="24"/>
        </w:rPr>
        <w:t>制定标准的技术路线</w:t>
      </w:r>
    </w:p>
    <w:p>
      <w:pPr>
        <w:autoSpaceDE w:val="0"/>
        <w:autoSpaceDN w:val="0"/>
        <w:adjustRightInd w:val="0"/>
        <w:spacing w:line="200" w:lineRule="exact"/>
        <w:jc w:val="left"/>
        <w:rPr>
          <w:rFonts w:ascii="Microsoft JhengHei" w:hAnsi="Times New Roman" w:eastAsia="Microsoft JhengHei" w:cs="Microsoft JhengHei"/>
          <w:kern w:val="0"/>
          <w:sz w:val="20"/>
          <w:szCs w:val="20"/>
        </w:rPr>
      </w:pPr>
    </w:p>
    <w:p>
      <w:pPr>
        <w:autoSpaceDE w:val="0"/>
        <w:autoSpaceDN w:val="0"/>
        <w:adjustRightInd w:val="0"/>
        <w:spacing w:before="4" w:line="220" w:lineRule="exact"/>
        <w:jc w:val="left"/>
        <w:rPr>
          <w:rFonts w:ascii="Microsoft JhengHei" w:hAnsi="Times New Roman" w:eastAsia="Microsoft JhengHei" w:cs="Microsoft JhengHei"/>
          <w:kern w:val="0"/>
          <w:sz w:val="22"/>
        </w:rPr>
      </w:pPr>
    </w:p>
    <w:p>
      <w:pPr>
        <w:autoSpaceDE w:val="0"/>
        <w:autoSpaceDN w:val="0"/>
        <w:adjustRightInd w:val="0"/>
        <w:spacing w:line="271" w:lineRule="exact"/>
        <w:ind w:left="4238" w:right="4154"/>
        <w:jc w:val="center"/>
        <w:rPr>
          <w:rFonts w:asciiTheme="minorEastAsia" w:hAnsiTheme="minorEastAsia" w:cstheme="minorEastAsia"/>
          <w:kern w:val="0"/>
          <w:szCs w:val="21"/>
        </w:rPr>
      </w:pPr>
      <w:r>
        <w:rPr>
          <w:rFonts w:hint="eastAsia" w:asciiTheme="minorEastAsia" w:hAnsiTheme="minorEastAsia" w:cstheme="minorEastAsia"/>
          <w:kern w:val="0"/>
          <w:position w:val="-2"/>
          <w:szCs w:val="21"/>
        </w:rPr>
        <w:t>任务</w:t>
      </w:r>
      <w:r>
        <w:rPr>
          <w:rFonts w:hint="eastAsia" w:asciiTheme="minorEastAsia" w:hAnsiTheme="minorEastAsia" w:cstheme="minorEastAsia"/>
          <w:spacing w:val="-2"/>
          <w:kern w:val="0"/>
          <w:position w:val="-2"/>
          <w:szCs w:val="21"/>
        </w:rPr>
        <w:t>下</w:t>
      </w:r>
      <w:r>
        <w:rPr>
          <w:rFonts w:hint="eastAsia" w:asciiTheme="minorEastAsia" w:hAnsiTheme="minorEastAsia" w:cstheme="minorEastAsia"/>
          <w:kern w:val="0"/>
          <w:position w:val="-2"/>
          <w:szCs w:val="21"/>
        </w:rPr>
        <w:t>达</w:t>
      </w:r>
    </w:p>
    <w:p>
      <w:pPr>
        <w:autoSpaceDE w:val="0"/>
        <w:autoSpaceDN w:val="0"/>
        <w:adjustRightInd w:val="0"/>
        <w:spacing w:before="9" w:line="100" w:lineRule="exact"/>
        <w:jc w:val="left"/>
        <w:rPr>
          <w:rFonts w:asciiTheme="minorEastAsia" w:hAnsiTheme="minorEastAsia" w:cstheme="minorEastAsia"/>
          <w:kern w:val="0"/>
          <w:sz w:val="10"/>
          <w:szCs w:val="10"/>
        </w:rPr>
      </w:pPr>
    </w:p>
    <w:p>
      <w:pPr>
        <w:autoSpaceDE w:val="0"/>
        <w:autoSpaceDN w:val="0"/>
        <w:adjustRightInd w:val="0"/>
        <w:spacing w:line="200" w:lineRule="exact"/>
        <w:jc w:val="left"/>
        <w:rPr>
          <w:rFonts w:asciiTheme="minorEastAsia" w:hAnsiTheme="minorEastAsia" w:cstheme="minorEastAsia"/>
          <w:kern w:val="0"/>
          <w:sz w:val="20"/>
          <w:szCs w:val="20"/>
        </w:rPr>
      </w:pPr>
    </w:p>
    <w:p>
      <w:pPr>
        <w:autoSpaceDE w:val="0"/>
        <w:autoSpaceDN w:val="0"/>
        <w:adjustRightInd w:val="0"/>
        <w:spacing w:line="200" w:lineRule="exact"/>
        <w:jc w:val="left"/>
        <w:rPr>
          <w:rFonts w:asciiTheme="minorEastAsia" w:hAnsiTheme="minorEastAsia" w:cstheme="minorEastAsia"/>
          <w:kern w:val="0"/>
          <w:sz w:val="20"/>
          <w:szCs w:val="20"/>
        </w:rPr>
      </w:pPr>
    </w:p>
    <w:p>
      <w:pPr>
        <w:autoSpaceDE w:val="0"/>
        <w:autoSpaceDN w:val="0"/>
        <w:adjustRightInd w:val="0"/>
        <w:spacing w:line="271" w:lineRule="exact"/>
        <w:ind w:left="4132" w:right="4049"/>
        <w:jc w:val="center"/>
        <w:rPr>
          <w:rFonts w:asciiTheme="minorEastAsia" w:hAnsiTheme="minorEastAsia" w:cstheme="minorEastAsia"/>
          <w:kern w:val="0"/>
          <w:szCs w:val="21"/>
        </w:rPr>
      </w:pPr>
      <w:r>
        <w:rPr>
          <w:rFonts w:hint="eastAsia" w:asciiTheme="minorEastAsia" w:hAnsiTheme="minorEastAsia" w:cstheme="minorEastAsia"/>
          <w:kern w:val="0"/>
          <w:position w:val="-2"/>
          <w:szCs w:val="21"/>
        </w:rPr>
        <w:t>组成</w:t>
      </w:r>
      <w:r>
        <w:rPr>
          <w:rFonts w:hint="eastAsia" w:asciiTheme="minorEastAsia" w:hAnsiTheme="minorEastAsia" w:cstheme="minorEastAsia"/>
          <w:spacing w:val="-2"/>
          <w:kern w:val="0"/>
          <w:position w:val="-2"/>
          <w:szCs w:val="21"/>
        </w:rPr>
        <w:t>编</w:t>
      </w:r>
      <w:r>
        <w:rPr>
          <w:rFonts w:hint="eastAsia" w:asciiTheme="minorEastAsia" w:hAnsiTheme="minorEastAsia" w:cstheme="minorEastAsia"/>
          <w:kern w:val="0"/>
          <w:position w:val="-2"/>
          <w:szCs w:val="21"/>
        </w:rPr>
        <w:t>制组</w:t>
      </w:r>
    </w:p>
    <w:p>
      <w:pPr>
        <w:autoSpaceDE w:val="0"/>
        <w:autoSpaceDN w:val="0"/>
        <w:adjustRightInd w:val="0"/>
        <w:spacing w:before="9" w:line="100" w:lineRule="exact"/>
        <w:jc w:val="left"/>
        <w:rPr>
          <w:rFonts w:asciiTheme="minorEastAsia" w:hAnsiTheme="minorEastAsia" w:cstheme="minorEastAsia"/>
          <w:kern w:val="0"/>
          <w:sz w:val="10"/>
          <w:szCs w:val="10"/>
        </w:rPr>
      </w:pPr>
    </w:p>
    <w:p>
      <w:pPr>
        <w:autoSpaceDE w:val="0"/>
        <w:autoSpaceDN w:val="0"/>
        <w:adjustRightInd w:val="0"/>
        <w:spacing w:line="200" w:lineRule="exact"/>
        <w:jc w:val="left"/>
        <w:rPr>
          <w:rFonts w:asciiTheme="minorEastAsia" w:hAnsiTheme="minorEastAsia" w:cstheme="minorEastAsia"/>
          <w:kern w:val="0"/>
          <w:sz w:val="20"/>
          <w:szCs w:val="20"/>
        </w:rPr>
      </w:pPr>
    </w:p>
    <w:p>
      <w:pPr>
        <w:autoSpaceDE w:val="0"/>
        <w:autoSpaceDN w:val="0"/>
        <w:adjustRightInd w:val="0"/>
        <w:spacing w:line="200" w:lineRule="exact"/>
        <w:jc w:val="left"/>
        <w:rPr>
          <w:rFonts w:asciiTheme="minorEastAsia" w:hAnsiTheme="minorEastAsia" w:cstheme="minorEastAsia"/>
          <w:kern w:val="0"/>
          <w:sz w:val="20"/>
          <w:szCs w:val="20"/>
        </w:rPr>
      </w:pPr>
    </w:p>
    <w:p>
      <w:pPr>
        <w:autoSpaceDE w:val="0"/>
        <w:autoSpaceDN w:val="0"/>
        <w:adjustRightInd w:val="0"/>
        <w:spacing w:line="271" w:lineRule="exact"/>
        <w:ind w:left="3712" w:right="3629"/>
        <w:jc w:val="center"/>
        <w:rPr>
          <w:rFonts w:asciiTheme="minorEastAsia" w:hAnsiTheme="minorEastAsia" w:cstheme="minorEastAsia"/>
          <w:kern w:val="0"/>
          <w:szCs w:val="21"/>
        </w:rPr>
      </w:pPr>
      <w:r>
        <w:rPr>
          <w:rFonts w:hint="eastAsia" w:asciiTheme="minorEastAsia" w:hAnsiTheme="minorEastAsia" w:cstheme="minorEastAsia"/>
          <w:kern w:val="0"/>
          <w:position w:val="-2"/>
          <w:szCs w:val="21"/>
        </w:rPr>
        <w:t>资料</w:t>
      </w:r>
      <w:r>
        <w:rPr>
          <w:rFonts w:hint="eastAsia" w:asciiTheme="minorEastAsia" w:hAnsiTheme="minorEastAsia" w:cstheme="minorEastAsia"/>
          <w:spacing w:val="-2"/>
          <w:kern w:val="0"/>
          <w:position w:val="-2"/>
          <w:szCs w:val="21"/>
        </w:rPr>
        <w:t>调</w:t>
      </w:r>
      <w:r>
        <w:rPr>
          <w:rFonts w:hint="eastAsia" w:asciiTheme="minorEastAsia" w:hAnsiTheme="minorEastAsia" w:cstheme="minorEastAsia"/>
          <w:kern w:val="0"/>
          <w:position w:val="-2"/>
          <w:szCs w:val="21"/>
        </w:rPr>
        <w:t>研</w:t>
      </w:r>
      <w:r>
        <w:rPr>
          <w:rFonts w:hint="eastAsia" w:asciiTheme="minorEastAsia" w:hAnsiTheme="minorEastAsia" w:cstheme="minorEastAsia"/>
          <w:spacing w:val="-2"/>
          <w:kern w:val="0"/>
          <w:position w:val="-2"/>
          <w:szCs w:val="21"/>
        </w:rPr>
        <w:t>和</w:t>
      </w:r>
      <w:r>
        <w:rPr>
          <w:rFonts w:hint="eastAsia" w:asciiTheme="minorEastAsia" w:hAnsiTheme="minorEastAsia" w:cstheme="minorEastAsia"/>
          <w:kern w:val="0"/>
          <w:position w:val="-2"/>
          <w:szCs w:val="21"/>
        </w:rPr>
        <w:t>编</w:t>
      </w:r>
      <w:r>
        <w:rPr>
          <w:rFonts w:hint="eastAsia" w:asciiTheme="minorEastAsia" w:hAnsiTheme="minorEastAsia" w:cstheme="minorEastAsia"/>
          <w:spacing w:val="-2"/>
          <w:kern w:val="0"/>
          <w:position w:val="-2"/>
          <w:szCs w:val="21"/>
        </w:rPr>
        <w:t>写</w:t>
      </w:r>
      <w:r>
        <w:rPr>
          <w:rFonts w:hint="eastAsia" w:asciiTheme="minorEastAsia" w:hAnsiTheme="minorEastAsia" w:cstheme="minorEastAsia"/>
          <w:kern w:val="0"/>
          <w:position w:val="-2"/>
          <w:szCs w:val="21"/>
        </w:rPr>
        <w:t>大纲</w:t>
      </w:r>
    </w:p>
    <w:p>
      <w:pPr>
        <w:autoSpaceDE w:val="0"/>
        <w:autoSpaceDN w:val="0"/>
        <w:adjustRightInd w:val="0"/>
        <w:spacing w:before="9" w:line="100" w:lineRule="exact"/>
        <w:jc w:val="left"/>
        <w:rPr>
          <w:rFonts w:asciiTheme="minorEastAsia" w:hAnsiTheme="minorEastAsia" w:cstheme="minorEastAsia"/>
          <w:kern w:val="0"/>
          <w:sz w:val="10"/>
          <w:szCs w:val="10"/>
        </w:rPr>
      </w:pPr>
    </w:p>
    <w:p>
      <w:pPr>
        <w:autoSpaceDE w:val="0"/>
        <w:autoSpaceDN w:val="0"/>
        <w:adjustRightInd w:val="0"/>
        <w:spacing w:line="200" w:lineRule="exact"/>
        <w:jc w:val="left"/>
        <w:rPr>
          <w:rFonts w:asciiTheme="minorEastAsia" w:hAnsiTheme="minorEastAsia" w:cstheme="minorEastAsia"/>
          <w:kern w:val="0"/>
          <w:sz w:val="20"/>
          <w:szCs w:val="20"/>
        </w:rPr>
      </w:pPr>
    </w:p>
    <w:p>
      <w:pPr>
        <w:autoSpaceDE w:val="0"/>
        <w:autoSpaceDN w:val="0"/>
        <w:adjustRightInd w:val="0"/>
        <w:spacing w:line="200" w:lineRule="exact"/>
        <w:jc w:val="left"/>
        <w:rPr>
          <w:rFonts w:asciiTheme="minorEastAsia" w:hAnsiTheme="minorEastAsia" w:cstheme="minorEastAsia"/>
          <w:kern w:val="0"/>
          <w:sz w:val="20"/>
          <w:szCs w:val="20"/>
        </w:rPr>
      </w:pPr>
    </w:p>
    <w:p>
      <w:pPr>
        <w:autoSpaceDE w:val="0"/>
        <w:autoSpaceDN w:val="0"/>
        <w:adjustRightInd w:val="0"/>
        <w:spacing w:line="271" w:lineRule="exact"/>
        <w:ind w:left="4027" w:right="3945"/>
        <w:jc w:val="center"/>
        <w:rPr>
          <w:rFonts w:asciiTheme="minorEastAsia" w:hAnsiTheme="minorEastAsia" w:cstheme="minorEastAsia"/>
          <w:kern w:val="0"/>
          <w:szCs w:val="21"/>
        </w:rPr>
      </w:pPr>
      <w:r>
        <w:rPr>
          <w:rFonts w:hint="eastAsia" w:asciiTheme="minorEastAsia" w:hAnsiTheme="minorEastAsia" w:cstheme="minorEastAsia"/>
          <w:kern w:val="0"/>
          <w:position w:val="-2"/>
          <w:szCs w:val="21"/>
        </w:rPr>
        <w:t>起草</w:t>
      </w:r>
      <w:r>
        <w:rPr>
          <w:rFonts w:hint="eastAsia" w:asciiTheme="minorEastAsia" w:hAnsiTheme="minorEastAsia" w:cstheme="minorEastAsia"/>
          <w:spacing w:val="-2"/>
          <w:kern w:val="0"/>
          <w:position w:val="-2"/>
          <w:szCs w:val="21"/>
        </w:rPr>
        <w:t>标</w:t>
      </w:r>
      <w:r>
        <w:rPr>
          <w:rFonts w:hint="eastAsia" w:asciiTheme="minorEastAsia" w:hAnsiTheme="minorEastAsia" w:cstheme="minorEastAsia"/>
          <w:kern w:val="0"/>
          <w:position w:val="-2"/>
          <w:szCs w:val="21"/>
        </w:rPr>
        <w:t>准</w:t>
      </w:r>
      <w:r>
        <w:rPr>
          <w:rFonts w:hint="eastAsia" w:asciiTheme="minorEastAsia" w:hAnsiTheme="minorEastAsia" w:cstheme="minorEastAsia"/>
          <w:spacing w:val="-2"/>
          <w:kern w:val="0"/>
          <w:position w:val="-2"/>
          <w:szCs w:val="21"/>
        </w:rPr>
        <w:t>草</w:t>
      </w:r>
      <w:r>
        <w:rPr>
          <w:rFonts w:hint="eastAsia" w:asciiTheme="minorEastAsia" w:hAnsiTheme="minorEastAsia" w:cstheme="minorEastAsia"/>
          <w:kern w:val="0"/>
          <w:position w:val="-2"/>
          <w:szCs w:val="21"/>
        </w:rPr>
        <w:t>案</w:t>
      </w:r>
    </w:p>
    <w:p>
      <w:pPr>
        <w:autoSpaceDE w:val="0"/>
        <w:autoSpaceDN w:val="0"/>
        <w:adjustRightInd w:val="0"/>
        <w:spacing w:before="9" w:line="100" w:lineRule="exact"/>
        <w:jc w:val="left"/>
        <w:rPr>
          <w:rFonts w:asciiTheme="minorEastAsia" w:hAnsiTheme="minorEastAsia" w:cstheme="minorEastAsia"/>
          <w:kern w:val="0"/>
          <w:sz w:val="10"/>
          <w:szCs w:val="10"/>
        </w:rPr>
      </w:pPr>
    </w:p>
    <w:p>
      <w:pPr>
        <w:autoSpaceDE w:val="0"/>
        <w:autoSpaceDN w:val="0"/>
        <w:adjustRightInd w:val="0"/>
        <w:spacing w:line="200" w:lineRule="exact"/>
        <w:jc w:val="left"/>
        <w:rPr>
          <w:rFonts w:asciiTheme="minorEastAsia" w:hAnsiTheme="minorEastAsia" w:cstheme="minorEastAsia"/>
          <w:kern w:val="0"/>
          <w:sz w:val="20"/>
          <w:szCs w:val="20"/>
        </w:rPr>
      </w:pPr>
    </w:p>
    <w:p>
      <w:pPr>
        <w:autoSpaceDE w:val="0"/>
        <w:autoSpaceDN w:val="0"/>
        <w:adjustRightInd w:val="0"/>
        <w:spacing w:line="200" w:lineRule="exact"/>
        <w:jc w:val="left"/>
        <w:rPr>
          <w:rFonts w:asciiTheme="minorEastAsia" w:hAnsiTheme="minorEastAsia" w:cstheme="minorEastAsia"/>
          <w:kern w:val="0"/>
          <w:sz w:val="20"/>
          <w:szCs w:val="20"/>
        </w:rPr>
      </w:pPr>
    </w:p>
    <w:p>
      <w:pPr>
        <w:autoSpaceDE w:val="0"/>
        <w:autoSpaceDN w:val="0"/>
        <w:adjustRightInd w:val="0"/>
        <w:spacing w:line="271" w:lineRule="exact"/>
        <w:ind w:left="4238" w:right="4154"/>
        <w:jc w:val="center"/>
        <w:rPr>
          <w:rFonts w:asciiTheme="minorEastAsia" w:hAnsiTheme="minorEastAsia" w:cstheme="minorEastAsia"/>
          <w:kern w:val="0"/>
          <w:szCs w:val="21"/>
        </w:rPr>
      </w:pPr>
      <w:r>
        <w:rPr>
          <w:rFonts w:asciiTheme="minorEastAsia" w:hAnsiTheme="minorEastAsia" w:cstheme="minorEastAsia"/>
        </w:rPr>
        <mc:AlternateContent>
          <mc:Choice Requires="wpg">
            <w:drawing>
              <wp:anchor distT="0" distB="0" distL="114300" distR="114300" simplePos="0" relativeHeight="251659264" behindDoc="1" locked="0" layoutInCell="0" allowOverlap="1">
                <wp:simplePos x="0" y="0"/>
                <wp:positionH relativeFrom="page">
                  <wp:posOffset>3067050</wp:posOffset>
                </wp:positionH>
                <wp:positionV relativeFrom="paragraph">
                  <wp:posOffset>-2032000</wp:posOffset>
                </wp:positionV>
                <wp:extent cx="1476375" cy="3773170"/>
                <wp:effectExtent l="0" t="0" r="10160" b="17780"/>
                <wp:wrapNone/>
                <wp:docPr id="31" name="组合 3"/>
                <wp:cNvGraphicFramePr/>
                <a:graphic xmlns:a="http://schemas.openxmlformats.org/drawingml/2006/main">
                  <a:graphicData uri="http://schemas.microsoft.com/office/word/2010/wordprocessingGroup">
                    <wpg:wgp>
                      <wpg:cNvGrpSpPr/>
                      <wpg:grpSpPr>
                        <a:xfrm>
                          <a:off x="0" y="0"/>
                          <a:ext cx="1476375" cy="3773170"/>
                          <a:chOff x="4830" y="-3200"/>
                          <a:chExt cx="2325" cy="5942"/>
                        </a:xfrm>
                      </wpg:grpSpPr>
                      <wps:wsp>
                        <wps:cNvPr id="1" name="矩形 4"/>
                        <wps:cNvSpPr/>
                        <wps:spPr>
                          <a:xfrm>
                            <a:off x="4838" y="-3193"/>
                            <a:ext cx="2309" cy="467"/>
                          </a:xfrm>
                          <a:prstGeom prst="rect">
                            <a:avLst/>
                          </a:prstGeom>
                          <a:noFill/>
                          <a:ln w="9524" cap="flat" cmpd="sng">
                            <a:solidFill>
                              <a:srgbClr val="000000"/>
                            </a:solidFill>
                            <a:prstDash val="solid"/>
                            <a:miter/>
                            <a:headEnd type="none" w="med" len="med"/>
                            <a:tailEnd type="none" w="med" len="med"/>
                          </a:ln>
                        </wps:spPr>
                        <wps:bodyPr upright="1"/>
                      </wps:wsp>
                      <wpg:grpSp>
                        <wpg:cNvPr id="5" name="组合 5"/>
                        <wpg:cNvGrpSpPr/>
                        <wpg:grpSpPr>
                          <a:xfrm>
                            <a:off x="5953" y="-2725"/>
                            <a:ext cx="80" cy="312"/>
                            <a:chOff x="5953" y="-2725"/>
                            <a:chExt cx="80" cy="312"/>
                          </a:xfrm>
                        </wpg:grpSpPr>
                        <wps:wsp>
                          <wps:cNvPr id="3" name="任意多边形 6"/>
                          <wps:cNvSpPr/>
                          <wps:spPr>
                            <a:xfrm>
                              <a:off x="5953" y="-2725"/>
                              <a:ext cx="80" cy="312"/>
                            </a:xfrm>
                            <a:custGeom>
                              <a:avLst/>
                              <a:gdLst/>
                              <a:ahLst/>
                              <a:cxnLst/>
                              <a:pathLst>
                                <a:path w="80" h="312">
                                  <a:moveTo>
                                    <a:pt x="30" y="231"/>
                                  </a:moveTo>
                                  <a:lnTo>
                                    <a:pt x="0" y="232"/>
                                  </a:lnTo>
                                  <a:lnTo>
                                    <a:pt x="40" y="312"/>
                                  </a:lnTo>
                                  <a:lnTo>
                                    <a:pt x="80" y="232"/>
                                  </a:lnTo>
                                  <a:lnTo>
                                    <a:pt x="50" y="231"/>
                                  </a:lnTo>
                                  <a:lnTo>
                                    <a:pt x="50" y="252"/>
                                  </a:lnTo>
                                  <a:lnTo>
                                    <a:pt x="30" y="252"/>
                                  </a:lnTo>
                                  <a:lnTo>
                                    <a:pt x="30" y="231"/>
                                  </a:lnTo>
                                  <a:close/>
                                </a:path>
                              </a:pathLst>
                            </a:custGeom>
                            <a:solidFill>
                              <a:srgbClr val="000000"/>
                            </a:solidFill>
                            <a:ln>
                              <a:noFill/>
                            </a:ln>
                          </wps:spPr>
                          <wps:bodyPr upright="1"/>
                        </wps:wsp>
                        <wps:wsp>
                          <wps:cNvPr id="4" name="矩形 7"/>
                          <wps:cNvSpPr/>
                          <wps:spPr>
                            <a:xfrm>
                              <a:off x="5983" y="-2725"/>
                              <a:ext cx="20" cy="252"/>
                            </a:xfrm>
                            <a:prstGeom prst="rect">
                              <a:avLst/>
                            </a:prstGeom>
                            <a:solidFill>
                              <a:srgbClr val="000000"/>
                            </a:solidFill>
                            <a:ln>
                              <a:noFill/>
                            </a:ln>
                          </wps:spPr>
                          <wps:bodyPr upright="1"/>
                        </wps:wsp>
                      </wpg:grpSp>
                      <wps:wsp>
                        <wps:cNvPr id="6" name="矩形 8"/>
                        <wps:cNvSpPr/>
                        <wps:spPr>
                          <a:xfrm>
                            <a:off x="4838" y="-2413"/>
                            <a:ext cx="2309" cy="467"/>
                          </a:xfrm>
                          <a:prstGeom prst="rect">
                            <a:avLst/>
                          </a:prstGeom>
                          <a:noFill/>
                          <a:ln w="9524" cap="flat" cmpd="sng">
                            <a:solidFill>
                              <a:srgbClr val="000000"/>
                            </a:solidFill>
                            <a:prstDash val="solid"/>
                            <a:miter/>
                            <a:headEnd type="none" w="med" len="med"/>
                            <a:tailEnd type="none" w="med" len="med"/>
                          </a:ln>
                        </wps:spPr>
                        <wps:bodyPr upright="1"/>
                      </wps:wsp>
                      <wpg:grpSp>
                        <wpg:cNvPr id="9" name="组合 9"/>
                        <wpg:cNvGrpSpPr/>
                        <wpg:grpSpPr>
                          <a:xfrm>
                            <a:off x="5953" y="-1945"/>
                            <a:ext cx="80" cy="312"/>
                            <a:chOff x="5953" y="-1945"/>
                            <a:chExt cx="80" cy="312"/>
                          </a:xfrm>
                        </wpg:grpSpPr>
                        <wps:wsp>
                          <wps:cNvPr id="7" name="任意多边形 10"/>
                          <wps:cNvSpPr/>
                          <wps:spPr>
                            <a:xfrm>
                              <a:off x="5953" y="-1945"/>
                              <a:ext cx="80" cy="312"/>
                            </a:xfrm>
                            <a:custGeom>
                              <a:avLst/>
                              <a:gdLst/>
                              <a:ahLst/>
                              <a:cxnLst/>
                              <a:pathLst>
                                <a:path w="80" h="312">
                                  <a:moveTo>
                                    <a:pt x="30" y="231"/>
                                  </a:moveTo>
                                  <a:lnTo>
                                    <a:pt x="0" y="232"/>
                                  </a:lnTo>
                                  <a:lnTo>
                                    <a:pt x="40" y="312"/>
                                  </a:lnTo>
                                  <a:lnTo>
                                    <a:pt x="80" y="232"/>
                                  </a:lnTo>
                                  <a:lnTo>
                                    <a:pt x="50" y="231"/>
                                  </a:lnTo>
                                  <a:lnTo>
                                    <a:pt x="50" y="252"/>
                                  </a:lnTo>
                                  <a:lnTo>
                                    <a:pt x="30" y="252"/>
                                  </a:lnTo>
                                  <a:lnTo>
                                    <a:pt x="30" y="231"/>
                                  </a:lnTo>
                                  <a:close/>
                                </a:path>
                              </a:pathLst>
                            </a:custGeom>
                            <a:solidFill>
                              <a:srgbClr val="000000"/>
                            </a:solidFill>
                            <a:ln>
                              <a:noFill/>
                            </a:ln>
                          </wps:spPr>
                          <wps:bodyPr upright="1"/>
                        </wps:wsp>
                        <wps:wsp>
                          <wps:cNvPr id="8" name="矩形 11"/>
                          <wps:cNvSpPr/>
                          <wps:spPr>
                            <a:xfrm>
                              <a:off x="5983" y="-1945"/>
                              <a:ext cx="20" cy="252"/>
                            </a:xfrm>
                            <a:prstGeom prst="rect">
                              <a:avLst/>
                            </a:prstGeom>
                            <a:solidFill>
                              <a:srgbClr val="000000"/>
                            </a:solidFill>
                            <a:ln>
                              <a:noFill/>
                            </a:ln>
                          </wps:spPr>
                          <wps:bodyPr upright="1"/>
                        </wps:wsp>
                      </wpg:grpSp>
                      <wps:wsp>
                        <wps:cNvPr id="10" name="矩形 12"/>
                        <wps:cNvSpPr/>
                        <wps:spPr>
                          <a:xfrm>
                            <a:off x="4838" y="-1633"/>
                            <a:ext cx="2309" cy="467"/>
                          </a:xfrm>
                          <a:prstGeom prst="rect">
                            <a:avLst/>
                          </a:prstGeom>
                          <a:noFill/>
                          <a:ln w="9524" cap="flat" cmpd="sng">
                            <a:solidFill>
                              <a:srgbClr val="000000"/>
                            </a:solidFill>
                            <a:prstDash val="solid"/>
                            <a:miter/>
                            <a:headEnd type="none" w="med" len="med"/>
                            <a:tailEnd type="none" w="med" len="med"/>
                          </a:ln>
                        </wps:spPr>
                        <wps:bodyPr upright="1"/>
                      </wps:wsp>
                      <wpg:grpSp>
                        <wpg:cNvPr id="13" name="组合 13"/>
                        <wpg:cNvGrpSpPr/>
                        <wpg:grpSpPr>
                          <a:xfrm>
                            <a:off x="5953" y="-1165"/>
                            <a:ext cx="80" cy="312"/>
                            <a:chOff x="5953" y="-1165"/>
                            <a:chExt cx="80" cy="312"/>
                          </a:xfrm>
                        </wpg:grpSpPr>
                        <wps:wsp>
                          <wps:cNvPr id="11" name="任意多边形 14"/>
                          <wps:cNvSpPr/>
                          <wps:spPr>
                            <a:xfrm>
                              <a:off x="5953" y="-1165"/>
                              <a:ext cx="80" cy="312"/>
                            </a:xfrm>
                            <a:custGeom>
                              <a:avLst/>
                              <a:gdLst/>
                              <a:ahLst/>
                              <a:cxnLst/>
                              <a:pathLst>
                                <a:path w="80" h="312">
                                  <a:moveTo>
                                    <a:pt x="30" y="231"/>
                                  </a:moveTo>
                                  <a:lnTo>
                                    <a:pt x="0" y="232"/>
                                  </a:lnTo>
                                  <a:lnTo>
                                    <a:pt x="40" y="312"/>
                                  </a:lnTo>
                                  <a:lnTo>
                                    <a:pt x="80" y="232"/>
                                  </a:lnTo>
                                  <a:lnTo>
                                    <a:pt x="50" y="231"/>
                                  </a:lnTo>
                                  <a:lnTo>
                                    <a:pt x="50" y="252"/>
                                  </a:lnTo>
                                  <a:lnTo>
                                    <a:pt x="30" y="252"/>
                                  </a:lnTo>
                                  <a:lnTo>
                                    <a:pt x="30" y="231"/>
                                  </a:lnTo>
                                  <a:close/>
                                </a:path>
                              </a:pathLst>
                            </a:custGeom>
                            <a:solidFill>
                              <a:srgbClr val="000000"/>
                            </a:solidFill>
                            <a:ln>
                              <a:noFill/>
                            </a:ln>
                          </wps:spPr>
                          <wps:bodyPr upright="1"/>
                        </wps:wsp>
                        <wps:wsp>
                          <wps:cNvPr id="12" name="矩形 15"/>
                          <wps:cNvSpPr/>
                          <wps:spPr>
                            <a:xfrm>
                              <a:off x="5983" y="-1165"/>
                              <a:ext cx="20" cy="252"/>
                            </a:xfrm>
                            <a:prstGeom prst="rect">
                              <a:avLst/>
                            </a:prstGeom>
                            <a:solidFill>
                              <a:srgbClr val="000000"/>
                            </a:solidFill>
                            <a:ln>
                              <a:noFill/>
                            </a:ln>
                          </wps:spPr>
                          <wps:bodyPr upright="1"/>
                        </wps:wsp>
                      </wpg:grpSp>
                      <wps:wsp>
                        <wps:cNvPr id="14" name="矩形 16"/>
                        <wps:cNvSpPr/>
                        <wps:spPr>
                          <a:xfrm>
                            <a:off x="4838" y="-853"/>
                            <a:ext cx="2309" cy="468"/>
                          </a:xfrm>
                          <a:prstGeom prst="rect">
                            <a:avLst/>
                          </a:prstGeom>
                          <a:noFill/>
                          <a:ln w="9525" cap="flat" cmpd="sng">
                            <a:solidFill>
                              <a:srgbClr val="000000"/>
                            </a:solidFill>
                            <a:prstDash val="solid"/>
                            <a:miter/>
                            <a:headEnd type="none" w="med" len="med"/>
                            <a:tailEnd type="none" w="med" len="med"/>
                          </a:ln>
                        </wps:spPr>
                        <wps:bodyPr upright="1"/>
                      </wps:wsp>
                      <wpg:grpSp>
                        <wpg:cNvPr id="17" name="组合 17"/>
                        <wpg:cNvGrpSpPr/>
                        <wpg:grpSpPr>
                          <a:xfrm>
                            <a:off x="5953" y="-385"/>
                            <a:ext cx="80" cy="312"/>
                            <a:chOff x="5953" y="-385"/>
                            <a:chExt cx="80" cy="312"/>
                          </a:xfrm>
                        </wpg:grpSpPr>
                        <wps:wsp>
                          <wps:cNvPr id="15" name="任意多边形 18"/>
                          <wps:cNvSpPr/>
                          <wps:spPr>
                            <a:xfrm>
                              <a:off x="5953" y="-385"/>
                              <a:ext cx="80" cy="312"/>
                            </a:xfrm>
                            <a:custGeom>
                              <a:avLst/>
                              <a:gdLst/>
                              <a:ahLst/>
                              <a:cxnLst/>
                              <a:pathLst>
                                <a:path w="80" h="312">
                                  <a:moveTo>
                                    <a:pt x="30" y="231"/>
                                  </a:moveTo>
                                  <a:lnTo>
                                    <a:pt x="0" y="232"/>
                                  </a:lnTo>
                                  <a:lnTo>
                                    <a:pt x="40" y="312"/>
                                  </a:lnTo>
                                  <a:lnTo>
                                    <a:pt x="80" y="232"/>
                                  </a:lnTo>
                                  <a:lnTo>
                                    <a:pt x="50" y="231"/>
                                  </a:lnTo>
                                  <a:lnTo>
                                    <a:pt x="50" y="252"/>
                                  </a:lnTo>
                                  <a:lnTo>
                                    <a:pt x="30" y="252"/>
                                  </a:lnTo>
                                  <a:lnTo>
                                    <a:pt x="30" y="231"/>
                                  </a:lnTo>
                                  <a:close/>
                                </a:path>
                              </a:pathLst>
                            </a:custGeom>
                            <a:solidFill>
                              <a:srgbClr val="000000"/>
                            </a:solidFill>
                            <a:ln>
                              <a:noFill/>
                            </a:ln>
                          </wps:spPr>
                          <wps:bodyPr upright="1"/>
                        </wps:wsp>
                        <wps:wsp>
                          <wps:cNvPr id="16" name="矩形 19"/>
                          <wps:cNvSpPr/>
                          <wps:spPr>
                            <a:xfrm>
                              <a:off x="5983" y="-385"/>
                              <a:ext cx="20" cy="251"/>
                            </a:xfrm>
                            <a:prstGeom prst="rect">
                              <a:avLst/>
                            </a:prstGeom>
                            <a:solidFill>
                              <a:srgbClr val="000000"/>
                            </a:solidFill>
                            <a:ln>
                              <a:noFill/>
                            </a:ln>
                          </wps:spPr>
                          <wps:bodyPr upright="1"/>
                        </wps:wsp>
                      </wpg:grpSp>
                      <wps:wsp>
                        <wps:cNvPr id="18" name="矩形 20"/>
                        <wps:cNvSpPr/>
                        <wps:spPr>
                          <a:xfrm>
                            <a:off x="4838" y="-73"/>
                            <a:ext cx="2309" cy="468"/>
                          </a:xfrm>
                          <a:prstGeom prst="rect">
                            <a:avLst/>
                          </a:prstGeom>
                          <a:noFill/>
                          <a:ln w="9525" cap="flat" cmpd="sng">
                            <a:solidFill>
                              <a:srgbClr val="000000"/>
                            </a:solidFill>
                            <a:prstDash val="solid"/>
                            <a:miter/>
                            <a:headEnd type="none" w="med" len="med"/>
                            <a:tailEnd type="none" w="med" len="med"/>
                          </a:ln>
                        </wps:spPr>
                        <wps:bodyPr upright="1"/>
                      </wps:wsp>
                      <wpg:grpSp>
                        <wpg:cNvPr id="21" name="组合 21"/>
                        <wpg:cNvGrpSpPr/>
                        <wpg:grpSpPr>
                          <a:xfrm>
                            <a:off x="5953" y="394"/>
                            <a:ext cx="80" cy="312"/>
                            <a:chOff x="5953" y="394"/>
                            <a:chExt cx="80" cy="312"/>
                          </a:xfrm>
                        </wpg:grpSpPr>
                        <wps:wsp>
                          <wps:cNvPr id="19" name="任意多边形 22"/>
                          <wps:cNvSpPr/>
                          <wps:spPr>
                            <a:xfrm>
                              <a:off x="5953" y="394"/>
                              <a:ext cx="80" cy="312"/>
                            </a:xfrm>
                            <a:custGeom>
                              <a:avLst/>
                              <a:gdLst/>
                              <a:ahLst/>
                              <a:cxnLst/>
                              <a:pathLst>
                                <a:path w="80" h="312">
                                  <a:moveTo>
                                    <a:pt x="30" y="231"/>
                                  </a:moveTo>
                                  <a:lnTo>
                                    <a:pt x="0" y="232"/>
                                  </a:lnTo>
                                  <a:lnTo>
                                    <a:pt x="40" y="312"/>
                                  </a:lnTo>
                                  <a:lnTo>
                                    <a:pt x="80" y="232"/>
                                  </a:lnTo>
                                  <a:lnTo>
                                    <a:pt x="50" y="231"/>
                                  </a:lnTo>
                                  <a:lnTo>
                                    <a:pt x="50" y="252"/>
                                  </a:lnTo>
                                  <a:lnTo>
                                    <a:pt x="30" y="252"/>
                                  </a:lnTo>
                                  <a:lnTo>
                                    <a:pt x="30" y="231"/>
                                  </a:lnTo>
                                  <a:close/>
                                </a:path>
                              </a:pathLst>
                            </a:custGeom>
                            <a:solidFill>
                              <a:srgbClr val="000000"/>
                            </a:solidFill>
                            <a:ln>
                              <a:noFill/>
                            </a:ln>
                          </wps:spPr>
                          <wps:bodyPr upright="1"/>
                        </wps:wsp>
                        <wps:wsp>
                          <wps:cNvPr id="20" name="矩形 23"/>
                          <wps:cNvSpPr/>
                          <wps:spPr>
                            <a:xfrm>
                              <a:off x="5983" y="394"/>
                              <a:ext cx="20" cy="251"/>
                            </a:xfrm>
                            <a:prstGeom prst="rect">
                              <a:avLst/>
                            </a:prstGeom>
                            <a:solidFill>
                              <a:srgbClr val="000000"/>
                            </a:solidFill>
                            <a:ln>
                              <a:noFill/>
                            </a:ln>
                          </wps:spPr>
                          <wps:bodyPr upright="1"/>
                        </wps:wsp>
                      </wpg:grpSp>
                      <wps:wsp>
                        <wps:cNvPr id="22" name="矩形 24"/>
                        <wps:cNvSpPr/>
                        <wps:spPr>
                          <a:xfrm>
                            <a:off x="4838" y="706"/>
                            <a:ext cx="2309" cy="468"/>
                          </a:xfrm>
                          <a:prstGeom prst="rect">
                            <a:avLst/>
                          </a:prstGeom>
                          <a:noFill/>
                          <a:ln w="9525" cap="flat" cmpd="sng">
                            <a:solidFill>
                              <a:srgbClr val="000000"/>
                            </a:solidFill>
                            <a:prstDash val="solid"/>
                            <a:miter/>
                            <a:headEnd type="none" w="med" len="med"/>
                            <a:tailEnd type="none" w="med" len="med"/>
                          </a:ln>
                        </wps:spPr>
                        <wps:bodyPr upright="1"/>
                      </wps:wsp>
                      <wpg:grpSp>
                        <wpg:cNvPr id="25" name="组合 25"/>
                        <wpg:cNvGrpSpPr/>
                        <wpg:grpSpPr>
                          <a:xfrm>
                            <a:off x="5953" y="1174"/>
                            <a:ext cx="80" cy="312"/>
                            <a:chOff x="5953" y="1174"/>
                            <a:chExt cx="80" cy="312"/>
                          </a:xfrm>
                        </wpg:grpSpPr>
                        <wps:wsp>
                          <wps:cNvPr id="23" name="任意多边形 26"/>
                          <wps:cNvSpPr/>
                          <wps:spPr>
                            <a:xfrm>
                              <a:off x="5953" y="1174"/>
                              <a:ext cx="80" cy="312"/>
                            </a:xfrm>
                            <a:custGeom>
                              <a:avLst/>
                              <a:gdLst/>
                              <a:ahLst/>
                              <a:cxnLst/>
                              <a:pathLst>
                                <a:path w="80" h="312">
                                  <a:moveTo>
                                    <a:pt x="30" y="231"/>
                                  </a:moveTo>
                                  <a:lnTo>
                                    <a:pt x="0" y="232"/>
                                  </a:lnTo>
                                  <a:lnTo>
                                    <a:pt x="40" y="312"/>
                                  </a:lnTo>
                                  <a:lnTo>
                                    <a:pt x="80" y="232"/>
                                  </a:lnTo>
                                  <a:lnTo>
                                    <a:pt x="50" y="231"/>
                                  </a:lnTo>
                                  <a:lnTo>
                                    <a:pt x="50" y="252"/>
                                  </a:lnTo>
                                  <a:lnTo>
                                    <a:pt x="30" y="252"/>
                                  </a:lnTo>
                                  <a:lnTo>
                                    <a:pt x="30" y="231"/>
                                  </a:lnTo>
                                  <a:close/>
                                </a:path>
                              </a:pathLst>
                            </a:custGeom>
                            <a:solidFill>
                              <a:srgbClr val="000000"/>
                            </a:solidFill>
                            <a:ln>
                              <a:noFill/>
                            </a:ln>
                          </wps:spPr>
                          <wps:bodyPr upright="1"/>
                        </wps:wsp>
                        <wps:wsp>
                          <wps:cNvPr id="24" name="矩形 27"/>
                          <wps:cNvSpPr/>
                          <wps:spPr>
                            <a:xfrm>
                              <a:off x="5983" y="1174"/>
                              <a:ext cx="20" cy="251"/>
                            </a:xfrm>
                            <a:prstGeom prst="rect">
                              <a:avLst/>
                            </a:prstGeom>
                            <a:solidFill>
                              <a:srgbClr val="000000"/>
                            </a:solidFill>
                            <a:ln>
                              <a:noFill/>
                            </a:ln>
                          </wps:spPr>
                          <wps:bodyPr upright="1"/>
                        </wps:wsp>
                      </wpg:grpSp>
                      <wps:wsp>
                        <wps:cNvPr id="26" name="矩形 28"/>
                        <wps:cNvSpPr/>
                        <wps:spPr>
                          <a:xfrm>
                            <a:off x="4838" y="1486"/>
                            <a:ext cx="2309" cy="468"/>
                          </a:xfrm>
                          <a:prstGeom prst="rect">
                            <a:avLst/>
                          </a:prstGeom>
                          <a:noFill/>
                          <a:ln w="9525" cap="flat" cmpd="sng">
                            <a:solidFill>
                              <a:srgbClr val="000000"/>
                            </a:solidFill>
                            <a:prstDash val="solid"/>
                            <a:miter/>
                            <a:headEnd type="none" w="med" len="med"/>
                            <a:tailEnd type="none" w="med" len="med"/>
                          </a:ln>
                        </wps:spPr>
                        <wps:bodyPr upright="1"/>
                      </wps:wsp>
                      <wpg:grpSp>
                        <wpg:cNvPr id="29" name="组合 29"/>
                        <wpg:cNvGrpSpPr/>
                        <wpg:grpSpPr>
                          <a:xfrm>
                            <a:off x="5953" y="1954"/>
                            <a:ext cx="80" cy="312"/>
                            <a:chOff x="5953" y="1954"/>
                            <a:chExt cx="80" cy="312"/>
                          </a:xfrm>
                        </wpg:grpSpPr>
                        <wps:wsp>
                          <wps:cNvPr id="27" name="任意多边形 30"/>
                          <wps:cNvSpPr/>
                          <wps:spPr>
                            <a:xfrm>
                              <a:off x="5953" y="1954"/>
                              <a:ext cx="80" cy="312"/>
                            </a:xfrm>
                            <a:custGeom>
                              <a:avLst/>
                              <a:gdLst/>
                              <a:ahLst/>
                              <a:cxnLst/>
                              <a:pathLst>
                                <a:path w="80" h="312">
                                  <a:moveTo>
                                    <a:pt x="30" y="231"/>
                                  </a:moveTo>
                                  <a:lnTo>
                                    <a:pt x="0" y="232"/>
                                  </a:lnTo>
                                  <a:lnTo>
                                    <a:pt x="40" y="312"/>
                                  </a:lnTo>
                                  <a:lnTo>
                                    <a:pt x="80" y="232"/>
                                  </a:lnTo>
                                  <a:lnTo>
                                    <a:pt x="50" y="231"/>
                                  </a:lnTo>
                                  <a:lnTo>
                                    <a:pt x="50" y="252"/>
                                  </a:lnTo>
                                  <a:lnTo>
                                    <a:pt x="30" y="252"/>
                                  </a:lnTo>
                                  <a:lnTo>
                                    <a:pt x="30" y="231"/>
                                  </a:lnTo>
                                  <a:close/>
                                </a:path>
                              </a:pathLst>
                            </a:custGeom>
                            <a:solidFill>
                              <a:srgbClr val="000000"/>
                            </a:solidFill>
                            <a:ln>
                              <a:noFill/>
                            </a:ln>
                          </wps:spPr>
                          <wps:bodyPr upright="1"/>
                        </wps:wsp>
                        <wps:wsp>
                          <wps:cNvPr id="28" name="矩形 31"/>
                          <wps:cNvSpPr/>
                          <wps:spPr>
                            <a:xfrm>
                              <a:off x="5983" y="1954"/>
                              <a:ext cx="20" cy="251"/>
                            </a:xfrm>
                            <a:prstGeom prst="rect">
                              <a:avLst/>
                            </a:prstGeom>
                            <a:solidFill>
                              <a:srgbClr val="000000"/>
                            </a:solidFill>
                            <a:ln>
                              <a:noFill/>
                            </a:ln>
                          </wps:spPr>
                          <wps:bodyPr upright="1"/>
                        </wps:wsp>
                      </wpg:grpSp>
                      <wps:wsp>
                        <wps:cNvPr id="30" name="矩形 32"/>
                        <wps:cNvSpPr/>
                        <wps:spPr>
                          <a:xfrm>
                            <a:off x="4838" y="2266"/>
                            <a:ext cx="2309" cy="468"/>
                          </a:xfrm>
                          <a:prstGeom prst="rect">
                            <a:avLst/>
                          </a:prstGeom>
                          <a:noFill/>
                          <a:ln w="9525" cap="flat" cmpd="sng">
                            <a:solidFill>
                              <a:srgbClr val="000000"/>
                            </a:solidFill>
                            <a:prstDash val="solid"/>
                            <a:miter/>
                            <a:headEnd type="none" w="med" len="med"/>
                            <a:tailEnd type="none" w="med" len="med"/>
                          </a:ln>
                        </wps:spPr>
                        <wps:bodyPr upright="1"/>
                      </wps:wsp>
                    </wpg:wgp>
                  </a:graphicData>
                </a:graphic>
              </wp:anchor>
            </w:drawing>
          </mc:Choice>
          <mc:Fallback>
            <w:pict>
              <v:group id="组合 3" o:spid="_x0000_s1026" o:spt="203" style="position:absolute;left:0pt;margin-left:241.5pt;margin-top:-160pt;height:297.1pt;width:116.25pt;mso-position-horizontal-relative:page;z-index:-251657216;mso-width-relative:page;mso-height-relative:page;" coordorigin="4830,-3200" coordsize="2325,5942" o:allowincell="f" o:gfxdata="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">
                <o:lock v:ext="edit" aspectratio="f"/>
                <v:rect id="矩形 4" o:spid="_x0000_s1026" o:spt="1" style="position:absolute;left:4838;top:-3193;height:467;width:2309;" filled="f" stroked="t" coordsize="21600,21600" o:gfxdata="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0s/EhugAAANoA&#10;AAAPAAAAAAAAAAEAIAAAACIAAABkcnMvZG93bnJldi54bWxQSwECFAAUAAAACACHTuJAMy8FnjsA&#10;AAA5AAAAEAAAAAAAAAABACAAAAAJAQAAZHJzL3NoYXBleG1sLnhtbFBLBQYAAAAABgAGAFsBAACz&#10;AwAAAAA=&#10;">
                  <v:fill on="f" focussize="0,0"/>
                  <v:stroke weight="0.74992125984252pt" color="#000000" joinstyle="miter"/>
                  <v:imagedata o:title=""/>
                  <o:lock v:ext="edit" aspectratio="f"/>
                </v:rect>
                <v:group id="_x0000_s1026" o:spid="_x0000_s1026" o:spt="203" style="position:absolute;left:5953;top:-2725;height:312;width:80;" coordorigin="5953,-2725" coordsize="80,312" o:gfxdata="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HTySXu7AAAA2gAAAA8AAAAAAAAAAQAgAAAAIgAAAGRycy9kb3ducmV2LnhtbFBL&#10;AQIUABQAAAAIAIdO4kAzLwWeOwAAADkAAAAVAAAAAAAAAAEAIAAAAAoBAABkcnMvZ3JvdXBzaGFw&#10;ZXhtbC54bWxQSwUGAAAAAAYABgBgAQAAxwMAAAAA&#10;">
                  <o:lock v:ext="edit" aspectratio="f"/>
                  <v:shape id="任意多边形 6" o:spid="_x0000_s1026" o:spt="100" style="position:absolute;left:5953;top:-2725;height:312;width:80;" fillcolor="#000000" filled="t" stroked="f" coordsize="80,312" o:gfxdata="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q7CT7ugAAANoA&#10;AAAPAAAAAAAAAAEAIAAAACIAAABkcnMvZG93bnJldi54bWxQSwECFAAUAAAACACHTuJAMy8FnjsA&#10;AAA5AAAAEAAAAAAAAAABACAAAAAJAQAAZHJzL3NoYXBleG1sLnhtbFBLBQYAAAAABgAGAFsBAACz&#10;AwAAAAA=&#10;" path="m30,231l0,232,40,312,80,232,50,231,50,252,30,252,30,231xe">
                    <v:fill on="t" focussize="0,0"/>
                    <v:stroke on="f"/>
                    <v:imagedata o:title=""/>
                    <o:lock v:ext="edit" aspectratio="f"/>
                  </v:shape>
                  <v:rect id="矩形 7" o:spid="_x0000_s1026" o:spt="1" style="position:absolute;left:5983;top:-2725;height:252;width:20;" fillcolor="#000000" filled="t" stroked="f" coordsize="21600,21600" o:gfxdata="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WLcLvQAA&#10;ANoAAAAPAAAAAAAAAAEAIAAAACIAAABkcnMvZG93bnJldi54bWxQSwECFAAUAAAACACHTuJAMy8F&#10;njsAAAA5AAAAEAAAAAAAAAABACAAAAAMAQAAZHJzL3NoYXBleG1sLnhtbFBLBQYAAAAABgAGAFsB&#10;AAC2AwAAAAA=&#10;">
                    <v:fill on="t" focussize="0,0"/>
                    <v:stroke on="f"/>
                    <v:imagedata o:title=""/>
                    <o:lock v:ext="edit" aspectratio="f"/>
                  </v:rect>
                </v:group>
                <v:rect id="矩形 8" o:spid="_x0000_s1026" o:spt="1" style="position:absolute;left:4838;top:-2413;height:467;width:2309;" filled="f" stroked="t" coordsize="21600,21600" o:gfxdata="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1ppVbsAAADa&#10;AAAADwAAAAAAAAABACAAAAAiAAAAZHJzL2Rvd25yZXYueG1sUEsBAhQAFAAAAAgAh07iQDMvBZ47&#10;AAAAOQAAABAAAAAAAAAAAQAgAAAACgEAAGRycy9zaGFwZXhtbC54bWxQSwUGAAAAAAYABgBbAQAA&#10;tAMAAAAA&#10;">
                  <v:fill on="f" focussize="0,0"/>
                  <v:stroke weight="0.74992125984252pt" color="#000000" joinstyle="miter"/>
                  <v:imagedata o:title=""/>
                  <o:lock v:ext="edit" aspectratio="f"/>
                </v:rect>
                <v:group id="_x0000_s1026" o:spid="_x0000_s1026" o:spt="203" style="position:absolute;left:5953;top:-1945;height:312;width:80;" coordorigin="5953,-1945" coordsize="80,312" o:gfxdata="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W/Q36+AAAA2gAAAA8AAAAAAAAAAQAgAAAAIgAAAGRycy9kb3ducmV2Lnht&#10;bFBLAQIUABQAAAAIAIdO4kAzLwWeOwAAADkAAAAVAAAAAAAAAAEAIAAAAA0BAABkcnMvZ3JvdXBz&#10;aGFwZXhtbC54bWxQSwUGAAAAAAYABgBgAQAAygMAAAAA&#10;">
                  <o:lock v:ext="edit" aspectratio="f"/>
                  <v:shape id="任意多边形 10" o:spid="_x0000_s1026" o:spt="100" style="position:absolute;left:5953;top:-1945;height:312;width:80;" fillcolor="#000000" filled="t" stroked="f" coordsize="80,312" o:gfxdata="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V1yL4ugAAANoA&#10;AAAPAAAAAAAAAAEAIAAAACIAAABkcnMvZG93bnJldi54bWxQSwECFAAUAAAACACHTuJAMy8FnjsA&#10;AAA5AAAAEAAAAAAAAAABACAAAAAJAQAAZHJzL3NoYXBleG1sLnhtbFBLBQYAAAAABgAGAFsBAACz&#10;AwAAAAA=&#10;" path="m30,231l0,232,40,312,80,232,50,231,50,252,30,252,30,231xe">
                    <v:fill on="t" focussize="0,0"/>
                    <v:stroke on="f"/>
                    <v:imagedata o:title=""/>
                    <o:lock v:ext="edit" aspectratio="f"/>
                  </v:shape>
                  <v:rect id="矩形 11" o:spid="_x0000_s1026" o:spt="1" style="position:absolute;left:5983;top:-1945;height:252;width:20;" fillcolor="#000000" filled="t" stroked="f" coordsize="21600,21600" o:gfxdata="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IVvQ65AAAA2gAA&#10;AA8AAAAAAAAAAQAgAAAAIgAAAGRycy9kb3ducmV2LnhtbFBLAQIUABQAAAAIAIdO4kAzLwWeOwAA&#10;ADkAAAAQAAAAAAAAAAEAIAAAAAgBAABkcnMvc2hhcGV4bWwueG1sUEsFBgAAAAAGAAYAWwEAALID&#10;AAAAAA==&#10;">
                    <v:fill on="t" focussize="0,0"/>
                    <v:stroke on="f"/>
                    <v:imagedata o:title=""/>
                    <o:lock v:ext="edit" aspectratio="f"/>
                  </v:rect>
                </v:group>
                <v:rect id="矩形 12" o:spid="_x0000_s1026" o:spt="1" style="position:absolute;left:4838;top:-1633;height:467;width:2309;" filled="f" stroked="t" coordsize="21600,21600" o:gfxdata="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FX8o4vQAA&#10;ANsAAAAPAAAAAAAAAAEAIAAAACIAAABkcnMvZG93bnJldi54bWxQSwECFAAUAAAACACHTuJAMy8F&#10;njsAAAA5AAAAEAAAAAAAAAABACAAAAAMAQAAZHJzL3NoYXBleG1sLnhtbFBLBQYAAAAABgAGAFsB&#10;AAC2AwAAAAA=&#10;">
                  <v:fill on="f" focussize="0,0"/>
                  <v:stroke weight="0.74992125984252pt" color="#000000" joinstyle="miter"/>
                  <v:imagedata o:title=""/>
                  <o:lock v:ext="edit" aspectratio="f"/>
                </v:rect>
                <v:group id="_x0000_s1026" o:spid="_x0000_s1026" o:spt="203" style="position:absolute;left:5953;top:-1165;height:312;width:80;" coordorigin="5953,-1165" coordsize="80,312" o:gfxdata="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ALcD2K7AAAA2wAAAA8AAAAAAAAAAQAgAAAAIgAAAGRycy9kb3ducmV2LnhtbFBL&#10;AQIUABQAAAAIAIdO4kAzLwWeOwAAADkAAAAVAAAAAAAAAAEAIAAAAAoBAABkcnMvZ3JvdXBzaGFw&#10;ZXhtbC54bWxQSwUGAAAAAAYABgBgAQAAxwMAAAAA&#10;">
                  <o:lock v:ext="edit" aspectratio="f"/>
                  <v:shape id="任意多边形 14" o:spid="_x0000_s1026" o:spt="100" style="position:absolute;left:5953;top:-1165;height:312;width:80;" fillcolor="#000000" filled="t" stroked="f" coordsize="80,312" o:gfxdata="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I0POk+2AAAA2wAAAA8A&#10;AAAAAAAAAQAgAAAAIgAAAGRycy9kb3ducmV2LnhtbFBLAQIUABQAAAAIAIdO4kAzLwWeOwAAADkA&#10;AAAQAAAAAAAAAAEAIAAAAAUBAABkcnMvc2hhcGV4bWwueG1sUEsFBgAAAAAGAAYAWwEAAK8DAAAA&#10;AA==&#10;" path="m30,231l0,232,40,312,80,232,50,231,50,252,30,252,30,231xe">
                    <v:fill on="t" focussize="0,0"/>
                    <v:stroke on="f"/>
                    <v:imagedata o:title=""/>
                    <o:lock v:ext="edit" aspectratio="f"/>
                  </v:shape>
                  <v:rect id="矩形 15" o:spid="_x0000_s1026" o:spt="1" style="position:absolute;left:5983;top:-1165;height:252;width:20;" fillcolor="#000000" filled="t" stroked="f" coordsize="21600,21600" o:gfxdata="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kCRoG8AAAA&#10;2wAAAA8AAAAAAAAAAQAgAAAAIgAAAGRycy9kb3ducmV2LnhtbFBLAQIUABQAAAAIAIdO4kAzLwWe&#10;OwAAADkAAAAQAAAAAAAAAAEAIAAAAAsBAABkcnMvc2hhcGV4bWwueG1sUEsFBgAAAAAGAAYAWwEA&#10;ALUDAAAAAA==&#10;">
                    <v:fill on="t" focussize="0,0"/>
                    <v:stroke on="f"/>
                    <v:imagedata o:title=""/>
                    <o:lock v:ext="edit" aspectratio="f"/>
                  </v:rect>
                </v:group>
                <v:rect id="矩形 16" o:spid="_x0000_s1026" o:spt="1" style="position:absolute;left:4838;top:-853;height:468;width:2309;" filled="f" stroked="t" coordsize="21600,21600" o:gfxdata="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DVLFy5AAAA2wAA&#10;AA8AAAAAAAAAAQAgAAAAIgAAAGRycy9kb3ducmV2LnhtbFBLAQIUABQAAAAIAIdO4kAzLwWeOwAA&#10;ADkAAAAQAAAAAAAAAAEAIAAAAAgBAABkcnMvc2hhcGV4bWwueG1sUEsFBgAAAAAGAAYAWwEAALID&#10;AAAAAA==&#10;">
                  <v:fill on="f" focussize="0,0"/>
                  <v:stroke color="#000000" joinstyle="miter"/>
                  <v:imagedata o:title=""/>
                  <o:lock v:ext="edit" aspectratio="f"/>
                </v:rect>
                <v:group id="_x0000_s1026" o:spid="_x0000_s1026" o:spt="203" style="position:absolute;left:5953;top:-385;height:312;width:80;" coordorigin="5953,-385" coordsize="80,312" o:gfxdata="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fecJYb0AAADbAAAADwAAAAAAAAABACAAAAAiAAAAZHJzL2Rvd25yZXYueG1s&#10;UEsBAhQAFAAAAAgAh07iQDMvBZ47AAAAOQAAABUAAAAAAAAAAQAgAAAADAEAAGRycy9ncm91cHNo&#10;YXBleG1sLnhtbFBLBQYAAAAABgAGAGABAADJAwAAAAA=&#10;">
                  <o:lock v:ext="edit" aspectratio="f"/>
                  <v:shape id="任意多边形 18" o:spid="_x0000_s1026" o:spt="100" style="position:absolute;left:5953;top:-385;height:312;width:80;" fillcolor="#000000" filled="t" stroked="f" coordsize="80,312" o:gfxdata="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8jQ8TLgAAADbAAAA&#10;DwAAAAAAAAABACAAAAAiAAAAZHJzL2Rvd25yZXYueG1sUEsBAhQAFAAAAAgAh07iQDMvBZ47AAAA&#10;OQAAABAAAAAAAAAAAQAgAAAABwEAAGRycy9zaGFwZXhtbC54bWxQSwUGAAAAAAYABgBbAQAAsQMA&#10;AAAA&#10;" path="m30,231l0,232,40,312,80,232,50,231,50,252,30,252,30,231xe">
                    <v:fill on="t" focussize="0,0"/>
                    <v:stroke on="f"/>
                    <v:imagedata o:title=""/>
                    <o:lock v:ext="edit" aspectratio="f"/>
                  </v:shape>
                  <v:rect id="矩形 19" o:spid="_x0000_s1026" o:spt="1" style="position:absolute;left:5983;top:-385;height:251;width:20;" fillcolor="#000000" filled="t" stroked="f" coordsize="21600,21600" o:gfxdata="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Y5QIK8AAAA&#10;2wAAAA8AAAAAAAAAAQAgAAAAIgAAAGRycy9kb3ducmV2LnhtbFBLAQIUABQAAAAIAIdO4kAzLwWe&#10;OwAAADkAAAAQAAAAAAAAAAEAIAAAAAsBAABkcnMvc2hhcGV4bWwueG1sUEsFBgAAAAAGAAYAWwEA&#10;ALUDAAAAAA==&#10;">
                    <v:fill on="t" focussize="0,0"/>
                    <v:stroke on="f"/>
                    <v:imagedata o:title=""/>
                    <o:lock v:ext="edit" aspectratio="f"/>
                  </v:rect>
                </v:group>
                <v:rect id="矩形 20" o:spid="_x0000_s1026" o:spt="1" style="position:absolute;left:4838;top:-73;height:468;width:2309;" filled="f" stroked="t" coordsize="21600,21600" o:gfxdata="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GYJlm8AAAA&#10;2wAAAA8AAAAAAAAAAQAgAAAAIgAAAGRycy9kb3ducmV2LnhtbFBLAQIUABQAAAAIAIdO4kAzLwWe&#10;OwAAADkAAAAQAAAAAAAAAAEAIAAAAAsBAABkcnMvc2hhcGV4bWwueG1sUEsFBgAAAAAGAAYAWwEA&#10;ALUDAAAAAA==&#10;">
                  <v:fill on="f" focussize="0,0"/>
                  <v:stroke color="#000000" joinstyle="miter"/>
                  <v:imagedata o:title=""/>
                  <o:lock v:ext="edit" aspectratio="f"/>
                </v:rect>
                <v:group id="_x0000_s1026" o:spid="_x0000_s1026" o:spt="203" style="position:absolute;left:5953;top:394;height:312;width:80;" coordorigin="5953,394" coordsize="80,312" o:gfxdata="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Uy7+M70AAADbAAAADwAAAAAAAAABACAAAAAiAAAAZHJzL2Rvd25yZXYueG1s&#10;UEsBAhQAFAAAAAgAh07iQDMvBZ47AAAAOQAAABUAAAAAAAAAAQAgAAAADAEAAGRycy9ncm91cHNo&#10;YXBleG1sLnhtbFBLBQYAAAAABgAGAGABAADJAwAAAAA=&#10;">
                  <o:lock v:ext="edit" aspectratio="f"/>
                  <v:shape id="任意多边形 22" o:spid="_x0000_s1026" o:spt="100" style="position:absolute;left:5953;top:394;height:312;width:80;" fillcolor="#000000" filled="t" stroked="f" coordsize="80,312" o:gfxdata="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3k2SbgAAADbAAAA&#10;DwAAAAAAAAABACAAAAAiAAAAZHJzL2Rvd25yZXYueG1sUEsBAhQAFAAAAAgAh07iQDMvBZ47AAAA&#10;OQAAABAAAAAAAAAAAQAgAAAABwEAAGRycy9zaGFwZXhtbC54bWxQSwUGAAAAAAYABgBbAQAAsQMA&#10;AAAA&#10;" path="m30,231l0,232,40,312,80,232,50,231,50,252,30,252,30,231xe">
                    <v:fill on="t" focussize="0,0"/>
                    <v:stroke on="f"/>
                    <v:imagedata o:title=""/>
                    <o:lock v:ext="edit" aspectratio="f"/>
                  </v:shape>
                  <v:rect id="矩形 23" o:spid="_x0000_s1026" o:spt="1" style="position:absolute;left:5983;top:394;height:251;width:20;" fillcolor="#000000" filled="t" stroked="f" coordsize="21600,21600" o:gfxdata="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jwt9C8AAAA&#10;2wAAAA8AAAAAAAAAAQAgAAAAIgAAAGRycy9kb3ducmV2LnhtbFBLAQIUABQAAAAIAIdO4kAzLwWe&#10;OwAAADkAAAAQAAAAAAAAAAEAIAAAAAsBAABkcnMvc2hhcGV4bWwueG1sUEsFBgAAAAAGAAYAWwEA&#10;ALUDAAAAAA==&#10;">
                    <v:fill on="t" focussize="0,0"/>
                    <v:stroke on="f"/>
                    <v:imagedata o:title=""/>
                    <o:lock v:ext="edit" aspectratio="f"/>
                  </v:rect>
                </v:group>
                <v:rect id="矩形 24" o:spid="_x0000_s1026" o:spt="1" style="position:absolute;left:4838;top:706;height:468;width:2309;" filled="f" stroked="t" coordsize="21600,21600" o:gfxdata="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HNsO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group id="_x0000_s1026" o:spid="_x0000_s1026" o:spt="203" style="position:absolute;left:5953;top:1174;height:312;width:80;" coordorigin="5953,1174" coordsize="80,312" o:gfxdata="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BX4ML0AAADbAAAADwAAAAAAAAABACAAAAAiAAAAZHJzL2Rvd25yZXYueG1s&#10;UEsBAhQAFAAAAAgAh07iQDMvBZ47AAAAOQAAABUAAAAAAAAAAQAgAAAADAEAAGRycy9ncm91cHNo&#10;YXBleG1sLnhtbFBLBQYAAAAABgAGAGABAADJAwAAAAA=&#10;">
                  <o:lock v:ext="edit" aspectratio="f"/>
                  <v:shape id="任意多边形 26" o:spid="_x0000_s1026" o:spt="100" style="position:absolute;left:5953;top:1174;height:312;width:80;" fillcolor="#000000" filled="t" stroked="f" coordsize="80,312" o:gfxdata="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P3LHrsAAADb&#10;AAAADwAAAAAAAAABACAAAAAiAAAAZHJzL2Rvd25yZXYueG1sUEsBAhQAFAAAAAgAh07iQDMvBZ47&#10;AAAAOQAAABAAAAAAAAAAAQAgAAAACgEAAGRycy9zaGFwZXhtbC54bWxQSwUGAAAAAAYABgBbAQAA&#10;tAMAAAAA&#10;" path="m30,231l0,232,40,312,80,232,50,231,50,252,30,252,30,231xe">
                    <v:fill on="t" focussize="0,0"/>
                    <v:stroke on="f"/>
                    <v:imagedata o:title=""/>
                    <o:lock v:ext="edit" aspectratio="f"/>
                  </v:shape>
                  <v:rect id="矩形 27" o:spid="_x0000_s1026" o:spt="1" style="position:absolute;left:5983;top:1174;height:251;width:20;" fillcolor="#000000" filled="t" stroked="f" coordsize="21600,21600" o:gfxdata="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8ux074A&#10;AADbAAAADwAAAAAAAAABACAAAAAiAAAAZHJzL2Rvd25yZXYueG1sUEsBAhQAFAAAAAgAh07iQDMv&#10;BZ47AAAAOQAAABAAAAAAAAAAAQAgAAAADQEAAGRycy9zaGFwZXhtbC54bWxQSwUGAAAAAAYABgBb&#10;AQAAtwMAAAAA&#10;">
                    <v:fill on="t" focussize="0,0"/>
                    <v:stroke on="f"/>
                    <v:imagedata o:title=""/>
                    <o:lock v:ext="edit" aspectratio="f"/>
                  </v:rect>
                </v:group>
                <v:rect id="矩形 28" o:spid="_x0000_s1026" o:spt="1" style="position:absolute;left:4838;top:1486;height:468;width:2309;" filled="f" stroked="t" coordsize="21600,21600" o:gfxdata="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En3Q28AAAA&#10;2wAAAA8AAAAAAAAAAQAgAAAAIgAAAGRycy9kb3ducmV2LnhtbFBLAQIUABQAAAAIAIdO4kAzLwWe&#10;OwAAADkAAAAQAAAAAAAAAAEAIAAAAAsBAABkcnMvc2hhcGV4bWwueG1sUEsFBgAAAAAGAAYAWwEA&#10;ALUDAAAAAA==&#10;">
                  <v:fill on="f" focussize="0,0"/>
                  <v:stroke color="#000000" joinstyle="miter"/>
                  <v:imagedata o:title=""/>
                  <o:lock v:ext="edit" aspectratio="f"/>
                </v:rect>
                <v:group id="_x0000_s1026" o:spid="_x0000_s1026" o:spt="203" style="position:absolute;left:5953;top:1954;height:312;width:80;" coordorigin="5953,1954" coordsize="80,312" o:gfxdata="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tWPI1vwAAANsAAAAPAAAAAAAAAAEAIAAAACIAAABkcnMvZG93bnJldi54&#10;bWxQSwECFAAUAAAACACHTuJAMy8FnjsAAAA5AAAAFQAAAAAAAAABACAAAAAOAQAAZHJzL2dyb3Vw&#10;c2hhcGV4bWwueG1sUEsFBgAAAAAGAAYAYAEAAMsDAAAAAA==&#10;">
                  <o:lock v:ext="edit" aspectratio="f"/>
                  <v:shape id="任意多边形 30" o:spid="_x0000_s1026" o:spt="100" style="position:absolute;left:5953;top:1954;height:312;width:80;" fillcolor="#000000" filled="t" stroked="f" coordsize="80,312" o:gfxdata="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PGzR25AAAA2wAA&#10;AA8AAAAAAAAAAQAgAAAAIgAAAGRycy9kb3ducmV2LnhtbFBLAQIUABQAAAAIAIdO4kAzLwWeOwAA&#10;ADkAAAAQAAAAAAAAAAEAIAAAAAgBAABkcnMvc2hhcGV4bWwueG1sUEsFBgAAAAAGAAYAWwEAALID&#10;AAAAAA==&#10;" path="m30,231l0,232,40,312,80,232,50,231,50,252,30,252,30,231xe">
                    <v:fill on="t" focussize="0,0"/>
                    <v:stroke on="f"/>
                    <v:imagedata o:title=""/>
                    <o:lock v:ext="edit" aspectratio="f"/>
                  </v:shape>
                  <v:rect id="矩形 31" o:spid="_x0000_s1026" o:spt="1" style="position:absolute;left:5983;top:1954;height:251;width:20;" fillcolor="#000000" filled="t" stroked="f" coordsize="21600,21600" o:gfxdata="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aGu9a8AAAA&#10;2wAAAA8AAAAAAAAAAQAgAAAAIgAAAGRycy9kb3ducmV2LnhtbFBLAQIUABQAAAAIAIdO4kAzLwWe&#10;OwAAADkAAAAQAAAAAAAAAAEAIAAAAAsBAABkcnMvc2hhcGV4bWwueG1sUEsFBgAAAAAGAAYAWwEA&#10;ALUDAAAAAA==&#10;">
                    <v:fill on="t" focussize="0,0"/>
                    <v:stroke on="f"/>
                    <v:imagedata o:title=""/>
                    <o:lock v:ext="edit" aspectratio="f"/>
                  </v:rect>
                </v:group>
                <v:rect id="矩形 32" o:spid="_x0000_s1026" o:spt="1" style="position:absolute;left:4838;top:2266;height:468;width:2309;" filled="f" stroked="t" coordsize="21600,21600" o:gfxdata="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Rbdj+5AAAA2wAA&#10;AA8AAAAAAAAAAQAgAAAAIgAAAGRycy9kb3ducmV2LnhtbFBLAQIUABQAAAAIAIdO4kAzLwWeOwAA&#10;ADkAAAAQAAAAAAAAAAEAIAAAAAgBAABkcnMvc2hhcGV4bWwueG1sUEsFBgAAAAAGAAYAWwEAALID&#10;AAAAAA==&#10;">
                  <v:fill on="f" focussize="0,0"/>
                  <v:stroke color="#000000" joinstyle="miter"/>
                  <v:imagedata o:title=""/>
                  <o:lock v:ext="edit" aspectratio="f"/>
                </v:rect>
              </v:group>
            </w:pict>
          </mc:Fallback>
        </mc:AlternateContent>
      </w:r>
      <w:r>
        <w:rPr>
          <w:rFonts w:hint="eastAsia" w:asciiTheme="minorEastAsia" w:hAnsiTheme="minorEastAsia" w:cstheme="minorEastAsia"/>
          <w:kern w:val="0"/>
          <w:position w:val="-2"/>
          <w:szCs w:val="21"/>
        </w:rPr>
        <w:t>征求</w:t>
      </w:r>
      <w:r>
        <w:rPr>
          <w:rFonts w:hint="eastAsia" w:asciiTheme="minorEastAsia" w:hAnsiTheme="minorEastAsia" w:cstheme="minorEastAsia"/>
          <w:spacing w:val="-2"/>
          <w:kern w:val="0"/>
          <w:position w:val="-2"/>
          <w:szCs w:val="21"/>
        </w:rPr>
        <w:t>意</w:t>
      </w:r>
      <w:r>
        <w:rPr>
          <w:rFonts w:hint="eastAsia" w:asciiTheme="minorEastAsia" w:hAnsiTheme="minorEastAsia" w:cstheme="minorEastAsia"/>
          <w:kern w:val="0"/>
          <w:position w:val="-2"/>
          <w:szCs w:val="21"/>
        </w:rPr>
        <w:t>见</w:t>
      </w:r>
    </w:p>
    <w:p>
      <w:pPr>
        <w:autoSpaceDE w:val="0"/>
        <w:autoSpaceDN w:val="0"/>
        <w:adjustRightInd w:val="0"/>
        <w:spacing w:before="9" w:line="100" w:lineRule="exact"/>
        <w:jc w:val="left"/>
        <w:rPr>
          <w:rFonts w:asciiTheme="minorEastAsia" w:hAnsiTheme="minorEastAsia" w:cstheme="minorEastAsia"/>
          <w:kern w:val="0"/>
          <w:sz w:val="10"/>
          <w:szCs w:val="10"/>
        </w:rPr>
      </w:pPr>
    </w:p>
    <w:p>
      <w:pPr>
        <w:autoSpaceDE w:val="0"/>
        <w:autoSpaceDN w:val="0"/>
        <w:adjustRightInd w:val="0"/>
        <w:spacing w:line="200" w:lineRule="exact"/>
        <w:jc w:val="left"/>
        <w:rPr>
          <w:rFonts w:asciiTheme="minorEastAsia" w:hAnsiTheme="minorEastAsia" w:cstheme="minorEastAsia"/>
          <w:kern w:val="0"/>
          <w:sz w:val="20"/>
          <w:szCs w:val="20"/>
        </w:rPr>
      </w:pPr>
    </w:p>
    <w:p>
      <w:pPr>
        <w:autoSpaceDE w:val="0"/>
        <w:autoSpaceDN w:val="0"/>
        <w:adjustRightInd w:val="0"/>
        <w:spacing w:line="200" w:lineRule="exact"/>
        <w:jc w:val="left"/>
        <w:rPr>
          <w:rFonts w:asciiTheme="minorEastAsia" w:hAnsiTheme="minorEastAsia" w:cstheme="minorEastAsia"/>
          <w:kern w:val="0"/>
          <w:sz w:val="20"/>
          <w:szCs w:val="20"/>
        </w:rPr>
      </w:pPr>
    </w:p>
    <w:p>
      <w:pPr>
        <w:autoSpaceDE w:val="0"/>
        <w:autoSpaceDN w:val="0"/>
        <w:adjustRightInd w:val="0"/>
        <w:spacing w:line="271" w:lineRule="exact"/>
        <w:ind w:left="4132" w:right="4049"/>
        <w:jc w:val="center"/>
        <w:rPr>
          <w:rFonts w:asciiTheme="minorEastAsia" w:hAnsiTheme="minorEastAsia" w:cstheme="minorEastAsia"/>
          <w:kern w:val="0"/>
          <w:szCs w:val="21"/>
        </w:rPr>
      </w:pPr>
      <w:r>
        <w:rPr>
          <w:rFonts w:hint="eastAsia" w:asciiTheme="minorEastAsia" w:hAnsiTheme="minorEastAsia" w:cstheme="minorEastAsia"/>
          <w:kern w:val="0"/>
          <w:position w:val="-2"/>
          <w:szCs w:val="21"/>
        </w:rPr>
        <w:t>起草</w:t>
      </w:r>
      <w:r>
        <w:rPr>
          <w:rFonts w:hint="eastAsia" w:asciiTheme="minorEastAsia" w:hAnsiTheme="minorEastAsia" w:cstheme="minorEastAsia"/>
          <w:spacing w:val="-2"/>
          <w:kern w:val="0"/>
          <w:position w:val="-2"/>
          <w:szCs w:val="21"/>
        </w:rPr>
        <w:t>送</w:t>
      </w:r>
      <w:r>
        <w:rPr>
          <w:rFonts w:hint="eastAsia" w:asciiTheme="minorEastAsia" w:hAnsiTheme="minorEastAsia" w:cstheme="minorEastAsia"/>
          <w:kern w:val="0"/>
          <w:position w:val="-2"/>
          <w:szCs w:val="21"/>
        </w:rPr>
        <w:t>审稿</w:t>
      </w:r>
    </w:p>
    <w:p>
      <w:pPr>
        <w:autoSpaceDE w:val="0"/>
        <w:autoSpaceDN w:val="0"/>
        <w:adjustRightInd w:val="0"/>
        <w:spacing w:before="9" w:line="100" w:lineRule="exact"/>
        <w:jc w:val="left"/>
        <w:rPr>
          <w:rFonts w:asciiTheme="minorEastAsia" w:hAnsiTheme="minorEastAsia" w:cstheme="minorEastAsia"/>
          <w:kern w:val="0"/>
          <w:sz w:val="10"/>
          <w:szCs w:val="10"/>
        </w:rPr>
      </w:pPr>
    </w:p>
    <w:p>
      <w:pPr>
        <w:autoSpaceDE w:val="0"/>
        <w:autoSpaceDN w:val="0"/>
        <w:adjustRightInd w:val="0"/>
        <w:spacing w:line="200" w:lineRule="exact"/>
        <w:jc w:val="left"/>
        <w:rPr>
          <w:rFonts w:asciiTheme="minorEastAsia" w:hAnsiTheme="minorEastAsia" w:cstheme="minorEastAsia"/>
          <w:kern w:val="0"/>
          <w:sz w:val="20"/>
          <w:szCs w:val="20"/>
        </w:rPr>
      </w:pPr>
    </w:p>
    <w:p>
      <w:pPr>
        <w:autoSpaceDE w:val="0"/>
        <w:autoSpaceDN w:val="0"/>
        <w:adjustRightInd w:val="0"/>
        <w:spacing w:line="200" w:lineRule="exact"/>
        <w:jc w:val="left"/>
        <w:rPr>
          <w:rFonts w:asciiTheme="minorEastAsia" w:hAnsiTheme="minorEastAsia" w:cstheme="minorEastAsia"/>
          <w:kern w:val="0"/>
          <w:sz w:val="20"/>
          <w:szCs w:val="20"/>
        </w:rPr>
      </w:pPr>
    </w:p>
    <w:p>
      <w:pPr>
        <w:autoSpaceDE w:val="0"/>
        <w:autoSpaceDN w:val="0"/>
        <w:adjustRightInd w:val="0"/>
        <w:spacing w:line="271" w:lineRule="exact"/>
        <w:ind w:left="3921" w:right="3840"/>
        <w:jc w:val="center"/>
        <w:rPr>
          <w:rFonts w:asciiTheme="minorEastAsia" w:hAnsiTheme="minorEastAsia" w:cstheme="minorEastAsia"/>
          <w:kern w:val="0"/>
          <w:szCs w:val="21"/>
        </w:rPr>
      </w:pPr>
      <w:r>
        <w:rPr>
          <w:rFonts w:hint="eastAsia" w:asciiTheme="minorEastAsia" w:hAnsiTheme="minorEastAsia" w:cstheme="minorEastAsia"/>
          <w:kern w:val="0"/>
          <w:position w:val="-2"/>
          <w:szCs w:val="21"/>
        </w:rPr>
        <w:t>召开</w:t>
      </w:r>
      <w:r>
        <w:rPr>
          <w:rFonts w:hint="eastAsia" w:asciiTheme="minorEastAsia" w:hAnsiTheme="minorEastAsia" w:cstheme="minorEastAsia"/>
          <w:spacing w:val="-2"/>
          <w:kern w:val="0"/>
          <w:position w:val="-2"/>
          <w:szCs w:val="21"/>
        </w:rPr>
        <w:t>专</w:t>
      </w:r>
      <w:r>
        <w:rPr>
          <w:rFonts w:hint="eastAsia" w:asciiTheme="minorEastAsia" w:hAnsiTheme="minorEastAsia" w:cstheme="minorEastAsia"/>
          <w:kern w:val="0"/>
          <w:position w:val="-2"/>
          <w:szCs w:val="21"/>
        </w:rPr>
        <w:t>家</w:t>
      </w:r>
      <w:r>
        <w:rPr>
          <w:rFonts w:hint="eastAsia" w:asciiTheme="minorEastAsia" w:hAnsiTheme="minorEastAsia" w:cstheme="minorEastAsia"/>
          <w:spacing w:val="-2"/>
          <w:kern w:val="0"/>
          <w:position w:val="-2"/>
          <w:szCs w:val="21"/>
        </w:rPr>
        <w:t>审</w:t>
      </w:r>
      <w:r>
        <w:rPr>
          <w:rFonts w:hint="eastAsia" w:asciiTheme="minorEastAsia" w:hAnsiTheme="minorEastAsia" w:cstheme="minorEastAsia"/>
          <w:kern w:val="0"/>
          <w:position w:val="-2"/>
          <w:szCs w:val="21"/>
        </w:rPr>
        <w:t>议会</w:t>
      </w:r>
    </w:p>
    <w:p>
      <w:pPr>
        <w:autoSpaceDE w:val="0"/>
        <w:autoSpaceDN w:val="0"/>
        <w:adjustRightInd w:val="0"/>
        <w:spacing w:before="9" w:line="100" w:lineRule="exact"/>
        <w:jc w:val="left"/>
        <w:rPr>
          <w:rFonts w:asciiTheme="minorEastAsia" w:hAnsiTheme="minorEastAsia" w:cstheme="minorEastAsia"/>
          <w:kern w:val="0"/>
          <w:sz w:val="10"/>
          <w:szCs w:val="10"/>
        </w:rPr>
      </w:pPr>
    </w:p>
    <w:p>
      <w:pPr>
        <w:autoSpaceDE w:val="0"/>
        <w:autoSpaceDN w:val="0"/>
        <w:adjustRightInd w:val="0"/>
        <w:spacing w:line="200" w:lineRule="exact"/>
        <w:jc w:val="left"/>
        <w:rPr>
          <w:rFonts w:asciiTheme="minorEastAsia" w:hAnsiTheme="minorEastAsia" w:cstheme="minorEastAsia"/>
          <w:kern w:val="0"/>
          <w:sz w:val="20"/>
          <w:szCs w:val="20"/>
        </w:rPr>
      </w:pPr>
    </w:p>
    <w:p>
      <w:pPr>
        <w:autoSpaceDE w:val="0"/>
        <w:autoSpaceDN w:val="0"/>
        <w:adjustRightInd w:val="0"/>
        <w:spacing w:line="200" w:lineRule="exact"/>
        <w:jc w:val="left"/>
        <w:rPr>
          <w:rFonts w:asciiTheme="minorEastAsia" w:hAnsiTheme="minorEastAsia" w:cstheme="minorEastAsia"/>
          <w:kern w:val="0"/>
          <w:sz w:val="20"/>
          <w:szCs w:val="20"/>
        </w:rPr>
      </w:pPr>
    </w:p>
    <w:p>
      <w:pPr>
        <w:autoSpaceDE w:val="0"/>
        <w:autoSpaceDN w:val="0"/>
        <w:adjustRightInd w:val="0"/>
        <w:spacing w:line="296" w:lineRule="exact"/>
        <w:ind w:left="4132" w:right="4049"/>
        <w:jc w:val="center"/>
        <w:rPr>
          <w:rFonts w:asciiTheme="minorEastAsia" w:hAnsiTheme="minorEastAsia" w:cstheme="minorEastAsia"/>
          <w:kern w:val="0"/>
          <w:szCs w:val="21"/>
        </w:rPr>
        <w:sectPr>
          <w:footerReference r:id="rId5" w:type="default"/>
          <w:pgSz w:w="11920" w:h="16840"/>
          <w:pgMar w:top="1220" w:right="1300" w:bottom="280" w:left="1300" w:header="0" w:footer="757" w:gutter="0"/>
          <w:pgNumType w:start="1"/>
          <w:cols w:equalWidth="0" w:num="1">
            <w:col w:w="9320"/>
          </w:cols>
        </w:sectPr>
      </w:pPr>
      <w:r>
        <w:rPr>
          <w:rFonts w:hint="eastAsia" w:asciiTheme="minorEastAsia" w:hAnsiTheme="minorEastAsia" w:cstheme="minorEastAsia"/>
          <w:kern w:val="0"/>
          <w:szCs w:val="21"/>
        </w:rPr>
        <w:t>提出</w:t>
      </w:r>
      <w:r>
        <w:rPr>
          <w:rFonts w:hint="eastAsia" w:asciiTheme="minorEastAsia" w:hAnsiTheme="minorEastAsia" w:cstheme="minorEastAsia"/>
          <w:spacing w:val="-2"/>
          <w:kern w:val="0"/>
          <w:szCs w:val="21"/>
        </w:rPr>
        <w:t>报</w:t>
      </w:r>
      <w:r>
        <w:rPr>
          <w:rFonts w:hint="eastAsia" w:asciiTheme="minorEastAsia" w:hAnsiTheme="minorEastAsia" w:cstheme="minorEastAsia"/>
          <w:kern w:val="0"/>
          <w:szCs w:val="21"/>
        </w:rPr>
        <w:t>批</w:t>
      </w:r>
    </w:p>
    <w:p>
      <w:pPr>
        <w:autoSpaceDE w:val="0"/>
        <w:autoSpaceDN w:val="0"/>
        <w:adjustRightInd w:val="0"/>
        <w:spacing w:before="120" w:beforeLines="50" w:after="120" w:afterLines="50" w:line="480" w:lineRule="exact"/>
        <w:jc w:val="left"/>
        <w:rPr>
          <w:rFonts w:ascii="Microsoft JhengHei" w:hAnsi="Times New Roman" w:eastAsia="Microsoft JhengHei" w:cs="Microsoft JhengHei"/>
          <w:kern w:val="0"/>
          <w:sz w:val="28"/>
          <w:szCs w:val="28"/>
        </w:rPr>
      </w:pPr>
      <w:r>
        <w:rPr>
          <w:rFonts w:hint="eastAsia" w:asciiTheme="minorEastAsia" w:hAnsiTheme="minorEastAsia" w:cstheme="minorEastAsia"/>
          <w:b/>
          <w:bCs/>
          <w:kern w:val="0"/>
          <w:position w:val="-2"/>
          <w:sz w:val="24"/>
          <w:szCs w:val="24"/>
        </w:rPr>
        <w:t>5.3   资料查阅</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主要查阅了以下资料：</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（1）我国关于清洁生产和循环经济的法律法规和产业政策；</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（2）国内复合肥料行业产业政策；</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（3）有关我国复合肥料行业的概况及行业现状的文献资料，包括企业数量、工艺装备、复合肥料产能、环境管理水平等；</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（4）国内、外复合肥料行业及相关行业的标准；</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（5）国内、外复合肥料行业清洁生产工艺技术以及污染物控制和治理技术。</w:t>
      </w:r>
    </w:p>
    <w:p>
      <w:pPr>
        <w:autoSpaceDE w:val="0"/>
        <w:autoSpaceDN w:val="0"/>
        <w:adjustRightInd w:val="0"/>
        <w:spacing w:before="120" w:beforeLines="50" w:after="120" w:afterLines="50" w:line="480" w:lineRule="exact"/>
        <w:jc w:val="left"/>
        <w:rPr>
          <w:rFonts w:ascii="Microsoft JhengHei" w:hAnsi="Times New Roman" w:eastAsia="Microsoft JhengHei" w:cs="Microsoft JhengHei"/>
          <w:kern w:val="0"/>
          <w:sz w:val="20"/>
          <w:szCs w:val="20"/>
        </w:rPr>
      </w:pPr>
      <w:r>
        <w:rPr>
          <w:rFonts w:hint="eastAsia" w:asciiTheme="minorEastAsia" w:hAnsiTheme="minorEastAsia" w:cstheme="minorEastAsia"/>
          <w:b/>
          <w:bCs/>
          <w:kern w:val="0"/>
          <w:position w:val="-2"/>
          <w:sz w:val="24"/>
          <w:szCs w:val="24"/>
        </w:rPr>
        <w:t>5.4   对国内、外主要复合肥料企业进行调研</w:t>
      </w:r>
    </w:p>
    <w:p>
      <w:pPr>
        <w:autoSpaceDE w:val="0"/>
        <w:autoSpaceDN w:val="0"/>
        <w:adjustRightInd w:val="0"/>
        <w:spacing w:before="120" w:beforeLines="50" w:after="120" w:afterLines="50" w:line="480" w:lineRule="exact"/>
        <w:jc w:val="left"/>
        <w:rPr>
          <w:rFonts w:asciiTheme="minorEastAsia" w:hAnsiTheme="minorEastAsia" w:cstheme="minorEastAsia"/>
          <w:sz w:val="24"/>
          <w:szCs w:val="24"/>
        </w:rPr>
      </w:pPr>
      <w:r>
        <w:rPr>
          <w:rFonts w:hint="eastAsia" w:asciiTheme="minorEastAsia" w:hAnsiTheme="minorEastAsia" w:cstheme="minorEastAsia"/>
          <w:b/>
          <w:bCs/>
          <w:kern w:val="0"/>
          <w:position w:val="-2"/>
          <w:sz w:val="24"/>
          <w:szCs w:val="24"/>
        </w:rPr>
        <w:t>5.4.1 调研方式</w:t>
      </w:r>
    </w:p>
    <w:p>
      <w:pPr>
        <w:adjustRightInd w:val="0"/>
        <w:snapToGrid w:val="0"/>
        <w:spacing w:line="480" w:lineRule="exact"/>
        <w:ind w:firstLine="480" w:firstLineChars="200"/>
        <w:jc w:val="left"/>
        <w:rPr>
          <w:rFonts w:ascii="微软雅黑" w:hAnsi="Times New Roman" w:eastAsia="微软雅黑" w:cs="微软雅黑"/>
          <w:kern w:val="0"/>
          <w:sz w:val="20"/>
          <w:szCs w:val="20"/>
        </w:rPr>
      </w:pPr>
      <w:bookmarkStart w:id="3" w:name="_Hlk98155238"/>
      <w:r>
        <w:rPr>
          <w:rFonts w:hint="eastAsia" w:asciiTheme="minorEastAsia" w:hAnsiTheme="minorEastAsia" w:cstheme="minorEastAsia"/>
          <w:sz w:val="24"/>
          <w:szCs w:val="24"/>
        </w:rPr>
        <w:t>我们采取了现场考察、问卷调查、会议研讨的方式进行调研，同时关注和收集国家统计局、全国肥料和土壤调理剂标准化技术委员会、中国磷复肥工业协会等相关的统计数据。</w:t>
      </w:r>
      <w:bookmarkEnd w:id="3"/>
    </w:p>
    <w:p>
      <w:pPr>
        <w:autoSpaceDE w:val="0"/>
        <w:autoSpaceDN w:val="0"/>
        <w:adjustRightInd w:val="0"/>
        <w:spacing w:before="120" w:beforeLines="50" w:after="120" w:afterLines="50" w:line="480" w:lineRule="exact"/>
        <w:jc w:val="left"/>
        <w:rPr>
          <w:rFonts w:ascii="Microsoft JhengHei" w:hAnsi="Times New Roman" w:eastAsia="Microsoft JhengHei" w:cs="Microsoft JhengHei"/>
          <w:kern w:val="0"/>
          <w:sz w:val="28"/>
          <w:szCs w:val="28"/>
        </w:rPr>
      </w:pPr>
      <w:r>
        <w:rPr>
          <w:rFonts w:hint="eastAsia" w:asciiTheme="minorEastAsia" w:hAnsiTheme="minorEastAsia" w:cstheme="minorEastAsia"/>
          <w:b/>
          <w:bCs/>
          <w:kern w:val="0"/>
          <w:position w:val="-2"/>
          <w:sz w:val="24"/>
          <w:szCs w:val="24"/>
        </w:rPr>
        <w:t>5.4.2 调研主要内容</w:t>
      </w:r>
    </w:p>
    <w:p>
      <w:pPr>
        <w:adjustRightInd w:val="0"/>
        <w:snapToGrid w:val="0"/>
        <w:spacing w:line="480" w:lineRule="exact"/>
        <w:ind w:firstLine="480" w:firstLineChars="200"/>
        <w:jc w:val="left"/>
        <w:rPr>
          <w:rFonts w:ascii="微软雅黑" w:hAnsi="Times New Roman" w:eastAsia="微软雅黑" w:cs="微软雅黑"/>
          <w:kern w:val="0"/>
          <w:sz w:val="28"/>
          <w:szCs w:val="28"/>
        </w:rPr>
      </w:pPr>
      <w:r>
        <w:rPr>
          <w:rFonts w:hint="eastAsia" w:asciiTheme="minorEastAsia" w:hAnsiTheme="minorEastAsia" w:cstheme="minorEastAsia"/>
          <w:sz w:val="24"/>
          <w:szCs w:val="24"/>
        </w:rPr>
        <w:t>根据绿色工厂评价通则的要求，重点调研了基础合规性、基础设施、管理体系、能源与资源投入、产品、环境排放、绩效等内容。</w:t>
      </w:r>
    </w:p>
    <w:p>
      <w:pPr>
        <w:autoSpaceDE w:val="0"/>
        <w:autoSpaceDN w:val="0"/>
        <w:adjustRightInd w:val="0"/>
        <w:spacing w:before="120" w:beforeLines="50" w:after="120" w:afterLines="50" w:line="480" w:lineRule="exact"/>
        <w:jc w:val="left"/>
        <w:rPr>
          <w:rFonts w:ascii="Microsoft JhengHei" w:hAnsi="Times New Roman" w:eastAsia="Microsoft JhengHei" w:cs="Microsoft JhengHei"/>
          <w:kern w:val="0"/>
          <w:sz w:val="28"/>
          <w:szCs w:val="28"/>
        </w:rPr>
      </w:pPr>
      <w:r>
        <w:rPr>
          <w:rFonts w:hint="eastAsia" w:asciiTheme="minorEastAsia" w:hAnsiTheme="minorEastAsia" w:cstheme="minorEastAsia"/>
          <w:b/>
          <w:bCs/>
          <w:kern w:val="0"/>
          <w:position w:val="-2"/>
          <w:sz w:val="24"/>
          <w:szCs w:val="24"/>
        </w:rPr>
        <w:t>6  适用范围</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本文件规定了复合肥料行业绿色工厂的总则、评价要求、评价程序及评价报告。</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本标准适用于复合肥料（包括冠以各种名称的以氮、磷、钾为基础养分的三元或二元固体肥料）生产企业的绿色工厂评价，且本标准不适用于磷酸一铵、磷酸二铵等复合肥料产品生产企业的绿色工厂评价。</w:t>
      </w:r>
    </w:p>
    <w:p>
      <w:pPr>
        <w:autoSpaceDE w:val="0"/>
        <w:autoSpaceDN w:val="0"/>
        <w:adjustRightInd w:val="0"/>
        <w:spacing w:before="120" w:beforeLines="50" w:after="120" w:afterLines="50" w:line="480" w:lineRule="exact"/>
        <w:jc w:val="left"/>
        <w:rPr>
          <w:rFonts w:ascii="Microsoft JhengHei" w:hAnsi="Times New Roman" w:eastAsia="Microsoft JhengHei" w:cs="Microsoft JhengHei"/>
          <w:kern w:val="0"/>
          <w:sz w:val="19"/>
          <w:szCs w:val="19"/>
        </w:rPr>
      </w:pPr>
      <w:r>
        <w:rPr>
          <w:rFonts w:hint="eastAsia" w:asciiTheme="minorEastAsia" w:hAnsiTheme="minorEastAsia" w:cstheme="minorEastAsia"/>
          <w:b/>
          <w:bCs/>
          <w:kern w:val="0"/>
          <w:position w:val="-2"/>
          <w:sz w:val="24"/>
          <w:szCs w:val="24"/>
        </w:rPr>
        <w:t>7  编制依据及参考文献</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 xml:space="preserve">《复合肥料行业绿色工厂评价要求》编制严格按照国家标准规范性文件的基本要求进行，在符合国家现行法律、法规以及复合肥料行业政策要求的前提下，保证产品功能、质量以及生产过程中人的职业健康安全的前提下，满足基础设施、管理体系、能源与资源投入、产品、环境排放、绩效的综合评价要求，并进行持续改进。 </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主要编制依据及参考文献如下：</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3095 环境空气质量标准</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6566 建筑材料放射性核素限量</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7119 节水型企业评价导则</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8978 污水综合排放标准</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12348 工业企业厂界环境噪声排放标准</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12497 三相异步电动机经济运行</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13223 火电厂大气污染排放标准</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13271 锅炉大气污染物排放标准</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13462 电力变压器经济运行</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14554 恶臭污染物排放标准</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15063 复合肥料</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15587 工业企业能源管理导则</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 xml:space="preserve">GB 16297 大气污染物综合排放标准    </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17167 用能单位能源计量器具配备和管理通则</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18382 肥料标识 内容和要求</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18484 危险废物焚烧污染控制标准</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18597 危险废物贮存污染控制标准</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18598 危险废物填埋污染控制标准</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18599 一般工业固体废物贮存、处置场污染控制标准</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18613 电动机能效限定值及能效等级</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19001 质量管理体系要求</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20052 三相配电变压器能效限定值及能效等级</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21367 化工企业能源计量器具配备和管理要求</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23331 能源管理体系要求</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24001 环境管理体系要求及使用指南</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24256 产品生态设计通则</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24789 用水单位水计量器具配备和管理通则</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24790 电力变压器能效限定值及能效等级</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29115 工业企业节约原材料评价导则</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32150 工业企业温室气体排放核算和报告通则</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32161 生态设计产品评价通则</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33000 企业安全生产标准化基本规范</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33761 绿色产品评价通则</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36132 绿色工厂评价通则</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37822 挥发性有机物无组织排放控制标准</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38400 肥料中有毒有害物质的限量要求</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45001 职业健康安全管理体系 要求及使用指南</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 50034 建筑照明设计标准</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GB/T 50878 绿色工业建筑评价标准</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HG/T 5047 复混肥料(复合肥料)单位产品能源消耗限额及计算方法</w:t>
      </w:r>
    </w:p>
    <w:p>
      <w:pPr>
        <w:autoSpaceDE w:val="0"/>
        <w:autoSpaceDN w:val="0"/>
        <w:adjustRightInd w:val="0"/>
        <w:spacing w:before="120" w:beforeLines="50" w:after="120" w:afterLines="50" w:line="480" w:lineRule="exact"/>
        <w:jc w:val="left"/>
        <w:rPr>
          <w:rFonts w:ascii="Microsoft JhengHei" w:hAnsi="Times New Roman" w:eastAsia="宋体" w:cs="Microsoft JhengHei"/>
          <w:kern w:val="0"/>
          <w:szCs w:val="21"/>
        </w:rPr>
      </w:pPr>
      <w:r>
        <w:rPr>
          <w:rFonts w:hint="eastAsia" w:asciiTheme="minorEastAsia" w:hAnsiTheme="minorEastAsia" w:cstheme="minorEastAsia"/>
          <w:b/>
          <w:bCs/>
          <w:kern w:val="0"/>
          <w:position w:val="-2"/>
          <w:sz w:val="24"/>
          <w:szCs w:val="24"/>
        </w:rPr>
        <w:t>8  总则</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复合肥料行业绿色工厂评价要求总体结构与GB/T 36132提出的相关评价指标体系和要求保持一致。评价遵循一致性原则、定性和定量结合原则。评价指标分一级指标和二级指标，其中一级指标包括基本要求、基础设施要求、管理体系要求、能源与资源投入要求、生产过程及产品要求、环境要求和绩效要求共七个方面共7个方面；二级指标是一级指标的细化，并细化为基本要求和预期性要求，其中基础性要求为必选项，预期性要求为可选项。定性指标主要侧重在应满足的法律法规、节能环保、工艺技术、相关标准等方面要求；定量指标主要侧重在能够反映工厂层面的绿色特性指标，如生产原料损耗率、复合肥料产品生产吨能源消耗、大气污染物排放限值等量化指标。</w:t>
      </w:r>
    </w:p>
    <w:p>
      <w:pPr>
        <w:adjustRightInd w:val="0"/>
        <w:snapToGrid w:val="0"/>
        <w:spacing w:line="480" w:lineRule="exact"/>
        <w:ind w:firstLine="480" w:firstLineChars="200"/>
        <w:jc w:val="left"/>
        <w:rPr>
          <w:rFonts w:ascii="微软雅黑" w:hAnsi="Times New Roman" w:eastAsia="微软雅黑" w:cs="微软雅黑"/>
          <w:kern w:val="0"/>
          <w:sz w:val="28"/>
          <w:szCs w:val="28"/>
        </w:rPr>
      </w:pPr>
      <w:r>
        <w:rPr>
          <w:rFonts w:hint="eastAsia" w:asciiTheme="minorEastAsia" w:hAnsiTheme="minorEastAsia" w:cstheme="minorEastAsia"/>
          <w:sz w:val="24"/>
          <w:szCs w:val="24"/>
        </w:rPr>
        <w:t>复合肥料行业绿色工厂评价采用指标加权综合评分的方法。</w:t>
      </w:r>
    </w:p>
    <w:p>
      <w:pPr>
        <w:autoSpaceDE w:val="0"/>
        <w:autoSpaceDN w:val="0"/>
        <w:adjustRightInd w:val="0"/>
        <w:spacing w:before="120" w:beforeLines="50" w:after="120" w:afterLines="50" w:line="480" w:lineRule="exact"/>
        <w:jc w:val="left"/>
        <w:rPr>
          <w:rFonts w:ascii="Times New Roman" w:hAnsi="Times New Roman" w:eastAsia="微软雅黑" w:cs="Times New Roman"/>
          <w:w w:val="120"/>
          <w:kern w:val="0"/>
          <w:szCs w:val="21"/>
        </w:rPr>
      </w:pPr>
      <w:r>
        <w:rPr>
          <w:rFonts w:hint="eastAsia" w:asciiTheme="minorEastAsia" w:hAnsiTheme="minorEastAsia" w:cstheme="minorEastAsia"/>
          <w:b/>
          <w:bCs/>
          <w:kern w:val="0"/>
          <w:position w:val="-2"/>
          <w:sz w:val="24"/>
          <w:szCs w:val="24"/>
        </w:rPr>
        <w:t>9  评价指标及要求</w:t>
      </w:r>
    </w:p>
    <w:p>
      <w:pPr>
        <w:autoSpaceDE w:val="0"/>
        <w:autoSpaceDN w:val="0"/>
        <w:adjustRightInd w:val="0"/>
        <w:spacing w:before="120" w:beforeLines="50" w:after="120" w:afterLines="50" w:line="480" w:lineRule="exact"/>
        <w:jc w:val="left"/>
        <w:rPr>
          <w:rFonts w:asciiTheme="minorEastAsia" w:hAnsiTheme="minorEastAsia" w:cstheme="minorEastAsia"/>
          <w:b/>
          <w:bCs/>
          <w:kern w:val="0"/>
          <w:position w:val="-2"/>
          <w:sz w:val="24"/>
          <w:szCs w:val="24"/>
        </w:rPr>
      </w:pPr>
      <w:r>
        <w:rPr>
          <w:rFonts w:hint="eastAsia" w:asciiTheme="minorEastAsia" w:hAnsiTheme="minorEastAsia" w:cstheme="minorEastAsia"/>
          <w:b/>
          <w:bCs/>
          <w:kern w:val="0"/>
          <w:position w:val="-2"/>
          <w:sz w:val="24"/>
          <w:szCs w:val="24"/>
        </w:rPr>
        <w:t>9.1 基本要求指标</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基本要求指标是所有指标中最基本的要求，其中所有细分指标都具有一票否决权（即不符合其中一项就失去绿色工厂的资格）。它的二级指标包括合规性要求与相关方要求、管理职责要求、运行时间要求。</w:t>
      </w:r>
    </w:p>
    <w:p>
      <w:pPr>
        <w:autoSpaceDE w:val="0"/>
        <w:autoSpaceDN w:val="0"/>
        <w:adjustRightInd w:val="0"/>
        <w:spacing w:before="120" w:beforeLines="50" w:after="120" w:afterLines="50" w:line="480" w:lineRule="exact"/>
        <w:jc w:val="left"/>
        <w:rPr>
          <w:rFonts w:asciiTheme="minorEastAsia" w:hAnsiTheme="minorEastAsia" w:cstheme="minorEastAsia"/>
          <w:b/>
          <w:bCs/>
          <w:kern w:val="0"/>
          <w:position w:val="-2"/>
          <w:sz w:val="24"/>
          <w:szCs w:val="24"/>
        </w:rPr>
      </w:pPr>
      <w:r>
        <w:rPr>
          <w:rFonts w:hint="eastAsia" w:asciiTheme="minorEastAsia" w:hAnsiTheme="minorEastAsia" w:cstheme="minorEastAsia"/>
          <w:b/>
          <w:bCs/>
          <w:kern w:val="0"/>
          <w:position w:val="-2"/>
          <w:sz w:val="24"/>
          <w:szCs w:val="24"/>
        </w:rPr>
        <w:t>9.2 基础设施指标</w:t>
      </w:r>
    </w:p>
    <w:p>
      <w:pPr>
        <w:adjustRightInd w:val="0"/>
        <w:snapToGrid w:val="0"/>
        <w:spacing w:line="480" w:lineRule="exact"/>
        <w:ind w:firstLine="480" w:firstLineChars="200"/>
        <w:jc w:val="left"/>
        <w:rPr>
          <w:rFonts w:ascii="微软雅黑" w:hAnsi="Times New Roman" w:eastAsia="微软雅黑" w:cs="微软雅黑"/>
          <w:kern w:val="0"/>
          <w:sz w:val="20"/>
          <w:szCs w:val="20"/>
        </w:rPr>
      </w:pPr>
      <w:r>
        <w:rPr>
          <w:rFonts w:hint="eastAsia" w:asciiTheme="minorEastAsia" w:hAnsiTheme="minorEastAsia" w:cstheme="minorEastAsia"/>
          <w:sz w:val="24"/>
          <w:szCs w:val="24"/>
        </w:rPr>
        <w:t>在一级指标中基础设施指标是指为生产及辅助过程服务的硬件设施，它所占的权重为20%，它从工厂的总体规划；建筑的合法合规、环保；照明的节能；工艺技术的先进性；专用设备、通用设备、计量设备的高效合理性以及污染物处理设备设施的标准提出了相关的要求。它的相关二级指标包括建筑、 照明、工艺及设施、通用设备、专用设备、计量设备和污染物处理设备设施。</w:t>
      </w:r>
    </w:p>
    <w:p>
      <w:pPr>
        <w:autoSpaceDE w:val="0"/>
        <w:autoSpaceDN w:val="0"/>
        <w:adjustRightInd w:val="0"/>
        <w:spacing w:before="120" w:beforeLines="50" w:after="120" w:afterLines="50" w:line="480" w:lineRule="exact"/>
        <w:jc w:val="left"/>
        <w:rPr>
          <w:rFonts w:ascii="Microsoft JhengHei" w:hAnsi="Times New Roman" w:eastAsia="Microsoft JhengHei" w:cs="Microsoft JhengHei"/>
          <w:kern w:val="0"/>
          <w:sz w:val="28"/>
          <w:szCs w:val="28"/>
        </w:rPr>
      </w:pPr>
      <w:r>
        <w:rPr>
          <w:rFonts w:hint="eastAsia" w:asciiTheme="minorEastAsia" w:hAnsiTheme="minorEastAsia" w:cstheme="minorEastAsia"/>
          <w:b/>
          <w:bCs/>
          <w:kern w:val="0"/>
          <w:position w:val="-2"/>
          <w:sz w:val="24"/>
          <w:szCs w:val="24"/>
        </w:rPr>
        <w:t>9.3 管理体系指标</w:t>
      </w:r>
    </w:p>
    <w:p>
      <w:pPr>
        <w:adjustRightInd w:val="0"/>
        <w:snapToGrid w:val="0"/>
        <w:spacing w:line="480" w:lineRule="exact"/>
        <w:ind w:firstLine="480" w:firstLineChars="200"/>
        <w:jc w:val="left"/>
        <w:rPr>
          <w:rFonts w:ascii="微软雅黑" w:hAnsi="Times New Roman" w:eastAsia="微软雅黑" w:cs="微软雅黑"/>
          <w:kern w:val="0"/>
          <w:sz w:val="20"/>
          <w:szCs w:val="20"/>
        </w:rPr>
      </w:pPr>
      <w:r>
        <w:rPr>
          <w:rFonts w:hint="eastAsia" w:asciiTheme="minorEastAsia" w:hAnsiTheme="minorEastAsia" w:cstheme="minorEastAsia"/>
          <w:sz w:val="24"/>
          <w:szCs w:val="24"/>
        </w:rPr>
        <w:t>管理体系指标是定性指标，所占权重为15%。主要包括质量管理体系、职业健康安全管理体系、 环境管理体系、能源管理体系和社会责任五个二级指标。同时，各体系宜通过第三方认证并持续保持有效状态。</w:t>
      </w:r>
    </w:p>
    <w:p>
      <w:pPr>
        <w:autoSpaceDE w:val="0"/>
        <w:autoSpaceDN w:val="0"/>
        <w:adjustRightInd w:val="0"/>
        <w:spacing w:before="120" w:beforeLines="50" w:after="120" w:afterLines="50" w:line="480" w:lineRule="exact"/>
        <w:jc w:val="left"/>
        <w:rPr>
          <w:rFonts w:ascii="Microsoft JhengHei" w:hAnsi="Times New Roman" w:eastAsia="Microsoft JhengHei" w:cs="Microsoft JhengHei"/>
          <w:kern w:val="0"/>
          <w:sz w:val="28"/>
          <w:szCs w:val="28"/>
        </w:rPr>
      </w:pPr>
      <w:r>
        <w:rPr>
          <w:rFonts w:hint="eastAsia" w:asciiTheme="minorEastAsia" w:hAnsiTheme="minorEastAsia" w:cstheme="minorEastAsia"/>
          <w:b/>
          <w:bCs/>
          <w:kern w:val="0"/>
          <w:position w:val="-2"/>
          <w:sz w:val="24"/>
          <w:szCs w:val="24"/>
        </w:rPr>
        <w:t>9</w:t>
      </w:r>
      <w:r>
        <w:rPr>
          <w:rFonts w:asciiTheme="minorEastAsia" w:hAnsiTheme="minorEastAsia" w:cstheme="minorEastAsia"/>
          <w:b/>
          <w:bCs/>
          <w:kern w:val="0"/>
          <w:position w:val="-2"/>
          <w:sz w:val="24"/>
          <w:szCs w:val="24"/>
        </w:rPr>
        <w:t>.4 能源与资源投入指标</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能源与资源投入指标是定性指标，所占权重为15%。主要包括能源投入、资源投入和采购三个二级指标。在能源投入方面，厂家应根据现实情况优化产能结构，尽量减少不可再生能源的投入，选择使用清洁高效能源，提高能源回收利用率。在资源投入上，按照GB/T 29115的要求对原材料使用量进行评价，按照GB/T 7119的要求开展节水评价，减少水资源的消耗，宜使用回收料和可回收料代替不可回收料。在采购上，应制定并实施节能、节水、环保、能效选择的准则，在资源采购上宜满足绿色供应链评价要求。</w:t>
      </w:r>
    </w:p>
    <w:p>
      <w:pPr>
        <w:autoSpaceDE w:val="0"/>
        <w:autoSpaceDN w:val="0"/>
        <w:adjustRightInd w:val="0"/>
        <w:spacing w:before="120" w:beforeLines="50" w:after="120" w:afterLines="50" w:line="359" w:lineRule="exact"/>
        <w:jc w:val="left"/>
        <w:rPr>
          <w:rFonts w:ascii="Microsoft JhengHei" w:hAnsi="Times New Roman" w:eastAsia="Microsoft JhengHei" w:cs="Microsoft JhengHei"/>
          <w:kern w:val="0"/>
          <w:sz w:val="28"/>
          <w:szCs w:val="28"/>
        </w:rPr>
      </w:pPr>
      <w:r>
        <w:rPr>
          <w:rFonts w:hint="eastAsia" w:asciiTheme="minorEastAsia" w:hAnsiTheme="minorEastAsia" w:cstheme="minorEastAsia"/>
          <w:b/>
          <w:bCs/>
          <w:kern w:val="0"/>
          <w:position w:val="-2"/>
          <w:sz w:val="24"/>
          <w:szCs w:val="24"/>
        </w:rPr>
        <w:t>9</w:t>
      </w:r>
      <w:r>
        <w:rPr>
          <w:rFonts w:asciiTheme="minorEastAsia" w:hAnsiTheme="minorEastAsia" w:cstheme="minorEastAsia"/>
          <w:b/>
          <w:bCs/>
          <w:kern w:val="0"/>
          <w:position w:val="-2"/>
          <w:sz w:val="24"/>
          <w:szCs w:val="24"/>
        </w:rPr>
        <w:t>.5 生产过程及产品指标</w:t>
      </w:r>
    </w:p>
    <w:p>
      <w:pPr>
        <w:adjustRightInd w:val="0"/>
        <w:snapToGrid w:val="0"/>
        <w:spacing w:line="480" w:lineRule="exact"/>
        <w:ind w:firstLine="480" w:firstLineChars="200"/>
        <w:jc w:val="left"/>
        <w:rPr>
          <w:rFonts w:ascii="微软雅黑" w:hAnsi="Times New Roman" w:eastAsia="微软雅黑" w:cs="微软雅黑"/>
          <w:kern w:val="0"/>
          <w:sz w:val="20"/>
          <w:szCs w:val="20"/>
        </w:rPr>
      </w:pPr>
      <w:r>
        <w:rPr>
          <w:rFonts w:hint="eastAsia" w:asciiTheme="minorEastAsia" w:hAnsiTheme="minorEastAsia" w:cstheme="minorEastAsia"/>
          <w:sz w:val="24"/>
          <w:szCs w:val="24"/>
        </w:rPr>
        <w:t>生产过程及产品指标所占权重为 10%，包含生产过程、产品两个二级指标。在生产过程方面，应按照GB/T 33000开展安全生产标准化工作，并达到安全标准化二级及以上标准。在生态设计方面，工厂应在复合肥料设计中按照 GB/T 24256引入生态设计的理念。复合肥料产品能耗消耗应符合HG/T 5047的要求。</w:t>
      </w:r>
    </w:p>
    <w:p>
      <w:pPr>
        <w:adjustRightInd w:val="0"/>
        <w:snapToGrid w:val="0"/>
        <w:spacing w:before="120" w:beforeLines="50" w:after="120" w:afterLines="50" w:line="480" w:lineRule="exact"/>
        <w:jc w:val="left"/>
        <w:rPr>
          <w:rFonts w:ascii="Microsoft JhengHei" w:hAnsi="Times New Roman" w:eastAsia="Microsoft JhengHei" w:cs="Microsoft JhengHei"/>
          <w:kern w:val="0"/>
          <w:sz w:val="28"/>
          <w:szCs w:val="28"/>
        </w:rPr>
      </w:pPr>
      <w:r>
        <w:rPr>
          <w:rFonts w:hint="eastAsia" w:asciiTheme="minorEastAsia" w:hAnsiTheme="minorEastAsia" w:cstheme="minorEastAsia"/>
          <w:b/>
          <w:bCs/>
          <w:sz w:val="24"/>
          <w:szCs w:val="24"/>
        </w:rPr>
        <w:t>9.6 环境排放指标</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环境排放指标所占权重为10%，主要考核大气、水、固废、噪声、温室气体排放、土壤及地下水、生态保护、环境风险管理方面来考量。主要用于考核复合肥料生产企业环保治理的效果。</w:t>
      </w:r>
    </w:p>
    <w:p>
      <w:pPr>
        <w:adjustRightInd w:val="0"/>
        <w:snapToGrid w:val="0"/>
        <w:spacing w:line="48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工厂需满足国家排污许可要求，并建立污染物排放监测制度，制定监测方案，对污染物排放状况及对厂界环境质量的影响开展自行监测，并保存原始监测记录。</w:t>
      </w:r>
    </w:p>
    <w:p>
      <w:pPr>
        <w:adjustRightInd w:val="0"/>
        <w:snapToGrid w:val="0"/>
        <w:spacing w:line="480" w:lineRule="exact"/>
        <w:ind w:firstLine="480" w:firstLineChars="200"/>
        <w:jc w:val="left"/>
        <w:rPr>
          <w:rFonts w:ascii="宋体" w:hAnsi="宋体" w:eastAsia="宋体" w:cs="宋体"/>
          <w:sz w:val="24"/>
          <w:szCs w:val="24"/>
        </w:rPr>
      </w:pPr>
      <w:r>
        <w:rPr>
          <w:rFonts w:hint="eastAsia" w:ascii="宋体" w:hAnsi="宋体" w:eastAsia="宋体" w:cs="宋体"/>
          <w:color w:val="000000"/>
          <w:kern w:val="0"/>
          <w:sz w:val="24"/>
          <w:szCs w:val="24"/>
        </w:rPr>
        <w:t>大气污染物排放应符合</w:t>
      </w:r>
      <w:r>
        <w:rPr>
          <w:rFonts w:hint="eastAsia" w:ascii="宋体" w:hAnsi="宋体" w:eastAsia="宋体" w:cs="宋体"/>
          <w:sz w:val="24"/>
          <w:szCs w:val="24"/>
        </w:rPr>
        <w:t>GB 3095、</w:t>
      </w:r>
      <w:r>
        <w:rPr>
          <w:rFonts w:hint="eastAsia" w:ascii="宋体" w:hAnsi="宋体" w:eastAsia="宋体" w:cs="宋体"/>
          <w:color w:val="000000"/>
          <w:kern w:val="0"/>
          <w:sz w:val="24"/>
          <w:szCs w:val="24"/>
        </w:rPr>
        <w:t>GB 13223、GB 13271、GB 14554、</w:t>
      </w:r>
      <w:r>
        <w:rPr>
          <w:rFonts w:hint="eastAsia" w:ascii="宋体" w:hAnsi="宋体" w:eastAsia="宋体" w:cs="宋体"/>
          <w:sz w:val="24"/>
          <w:szCs w:val="24"/>
        </w:rPr>
        <w:t>GB 16297</w:t>
      </w:r>
      <w:r>
        <w:rPr>
          <w:rFonts w:hint="eastAsia" w:ascii="宋体" w:hAnsi="宋体" w:eastAsia="宋体" w:cs="宋体"/>
          <w:color w:val="000000"/>
          <w:kern w:val="0"/>
          <w:sz w:val="24"/>
          <w:szCs w:val="24"/>
        </w:rPr>
        <w:t>等相关国家、行业及地方标准要求，并满足排污许可的要求。</w:t>
      </w:r>
    </w:p>
    <w:p>
      <w:pPr>
        <w:adjustRightInd w:val="0"/>
        <w:snapToGrid w:val="0"/>
        <w:spacing w:line="480" w:lineRule="exact"/>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水污染物排放应满足国家、行业及地方标准要求，并符合排污许可的要求。</w:t>
      </w:r>
    </w:p>
    <w:p>
      <w:pPr>
        <w:adjustRightInd w:val="0"/>
        <w:snapToGrid w:val="0"/>
        <w:spacing w:line="480" w:lineRule="exact"/>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固体废物的收集、贮存、运输、处置、利用应符合GB 18599、GB 18597、</w:t>
      </w:r>
      <w:r>
        <w:rPr>
          <w:rFonts w:hint="eastAsia" w:ascii="宋体" w:hAnsi="宋体" w:eastAsia="宋体" w:cs="宋体"/>
          <w:color w:val="000000"/>
          <w:sz w:val="24"/>
          <w:szCs w:val="24"/>
        </w:rPr>
        <w:t>GB</w:t>
      </w:r>
      <w:r>
        <w:rPr>
          <w:rFonts w:hint="eastAsia" w:ascii="宋体" w:hAnsi="宋体" w:eastAsia="宋体" w:cs="宋体"/>
          <w:color w:val="000000"/>
          <w:kern w:val="0"/>
          <w:sz w:val="24"/>
          <w:szCs w:val="24"/>
        </w:rPr>
        <w:t xml:space="preserve"> </w:t>
      </w:r>
      <w:r>
        <w:rPr>
          <w:rFonts w:hint="eastAsia" w:ascii="宋体" w:hAnsi="宋体" w:eastAsia="宋体" w:cs="宋体"/>
          <w:color w:val="000000"/>
          <w:sz w:val="24"/>
          <w:szCs w:val="24"/>
        </w:rPr>
        <w:t>18598、GB</w:t>
      </w:r>
      <w:r>
        <w:rPr>
          <w:rFonts w:hint="eastAsia" w:ascii="宋体" w:hAnsi="宋体" w:eastAsia="宋体" w:cs="宋体"/>
          <w:color w:val="000000"/>
          <w:kern w:val="0"/>
          <w:sz w:val="24"/>
          <w:szCs w:val="24"/>
        </w:rPr>
        <w:t xml:space="preserve"> </w:t>
      </w:r>
      <w:r>
        <w:rPr>
          <w:rFonts w:hint="eastAsia" w:ascii="宋体" w:hAnsi="宋体" w:eastAsia="宋体" w:cs="宋体"/>
          <w:color w:val="000000"/>
          <w:sz w:val="24"/>
          <w:szCs w:val="24"/>
        </w:rPr>
        <w:t>18484</w:t>
      </w:r>
      <w:r>
        <w:rPr>
          <w:rFonts w:hint="eastAsia" w:ascii="宋体" w:hAnsi="宋体" w:eastAsia="宋体" w:cs="宋体"/>
          <w:color w:val="000000"/>
          <w:kern w:val="0"/>
          <w:sz w:val="24"/>
          <w:szCs w:val="24"/>
        </w:rPr>
        <w:t>等国家和地方相关标准及法律法规要求。工厂无法自行处理的，应将固体废物转交给具备相应能力和资质的处理厂进行处理。</w:t>
      </w:r>
    </w:p>
    <w:p>
      <w:pPr>
        <w:adjustRightInd w:val="0"/>
        <w:snapToGrid w:val="0"/>
        <w:spacing w:line="480" w:lineRule="exact"/>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厂界噪声应满足GB 12348和地方主管部门的要求。</w:t>
      </w:r>
    </w:p>
    <w:p>
      <w:pPr>
        <w:adjustRightInd w:val="0"/>
        <w:snapToGrid w:val="0"/>
        <w:spacing w:line="480" w:lineRule="exact"/>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温室气体排放应建立监测体系。</w:t>
      </w:r>
    </w:p>
    <w:p>
      <w:pPr>
        <w:adjustRightInd w:val="0"/>
        <w:snapToGrid w:val="0"/>
        <w:spacing w:line="480" w:lineRule="exact"/>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土壤和地下水应定期开展监测，并制定风险防控方案。</w:t>
      </w:r>
    </w:p>
    <w:p>
      <w:pPr>
        <w:adjustRightInd w:val="0"/>
        <w:snapToGrid w:val="0"/>
        <w:spacing w:line="480" w:lineRule="exact"/>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厂（场）选址、布局符合生态功能区划和生态红线的有关要求。</w:t>
      </w:r>
    </w:p>
    <w:p>
      <w:pPr>
        <w:adjustRightInd w:val="0"/>
        <w:snapToGrid w:val="0"/>
        <w:spacing w:line="480" w:lineRule="exact"/>
        <w:ind w:firstLine="480" w:firstLineChars="200"/>
        <w:jc w:val="left"/>
        <w:rPr>
          <w:rFonts w:ascii="宋体" w:hAnsi="宋体" w:eastAsia="宋体" w:cs="宋体"/>
          <w:kern w:val="0"/>
          <w:sz w:val="24"/>
          <w:szCs w:val="24"/>
        </w:rPr>
      </w:pPr>
      <w:r>
        <w:rPr>
          <w:rFonts w:hint="eastAsia" w:ascii="宋体" w:hAnsi="宋体" w:eastAsia="宋体" w:cs="宋体"/>
          <w:color w:val="000000"/>
          <w:kern w:val="0"/>
          <w:sz w:val="24"/>
          <w:szCs w:val="24"/>
        </w:rPr>
        <w:t>应落实突发环境事件风险评估制度，实施环境风险分类分级管理。</w:t>
      </w:r>
    </w:p>
    <w:p>
      <w:pPr>
        <w:adjustRightInd w:val="0"/>
        <w:snapToGrid w:val="0"/>
        <w:spacing w:before="120" w:beforeLines="50" w:after="120" w:afterLines="50" w:line="480" w:lineRule="exact"/>
        <w:jc w:val="left"/>
        <w:rPr>
          <w:rFonts w:ascii="Microsoft JhengHei" w:hAnsi="Times New Roman" w:eastAsia="Microsoft JhengHei" w:cs="Microsoft JhengHei"/>
          <w:kern w:val="0"/>
          <w:sz w:val="28"/>
          <w:szCs w:val="28"/>
        </w:rPr>
      </w:pPr>
      <w:r>
        <w:rPr>
          <w:rFonts w:hint="eastAsia" w:asciiTheme="minorEastAsia" w:hAnsiTheme="minorEastAsia" w:cstheme="minorEastAsia"/>
          <w:b/>
          <w:bCs/>
          <w:sz w:val="24"/>
          <w:szCs w:val="24"/>
        </w:rPr>
        <w:t>9</w:t>
      </w:r>
      <w:r>
        <w:rPr>
          <w:rFonts w:asciiTheme="minorEastAsia" w:hAnsiTheme="minorEastAsia" w:cstheme="minorEastAsia"/>
          <w:b/>
          <w:bCs/>
          <w:sz w:val="24"/>
          <w:szCs w:val="24"/>
        </w:rPr>
        <w:t>.7 绩效指标</w:t>
      </w:r>
    </w:p>
    <w:p>
      <w:pPr>
        <w:adjustRightInd w:val="0"/>
        <w:snapToGrid w:val="0"/>
        <w:spacing w:line="480" w:lineRule="exact"/>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绩效指标均主要为定量指标，所占权重为 30%，包括了用地集约化、生产洁净化、废物资源化和能源低碳化四个二级指标。</w:t>
      </w:r>
    </w:p>
    <w:p>
      <w:pPr>
        <w:adjustRightInd w:val="0"/>
        <w:snapToGrid w:val="0"/>
        <w:spacing w:line="480" w:lineRule="exact"/>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用地集约化方面：工厂容积率大于等于0.6、建筑密度大于等于30%、单位用地面积产值不低于地方发布的单位用地面积产值的要求；未发布单位用地面积产值的地区，应不低于本年度所在省市的单位用地面积产值。</w:t>
      </w:r>
    </w:p>
    <w:p>
      <w:pPr>
        <w:adjustRightInd w:val="0"/>
        <w:snapToGrid w:val="0"/>
        <w:spacing w:line="480" w:lineRule="exact"/>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生产洁净化方面：吨复合肥料废水、废气、固废产生量</w:t>
      </w:r>
      <w:r>
        <w:rPr>
          <w:rFonts w:hint="eastAsia" w:ascii="宋体" w:hAnsi="宋体" w:eastAsia="宋体" w:cs="宋体"/>
          <w:color w:val="000000"/>
          <w:kern w:val="0"/>
          <w:sz w:val="24"/>
          <w:szCs w:val="24"/>
          <w:lang w:val="en-US" w:eastAsia="zh-CN"/>
        </w:rPr>
        <w:t>应</w:t>
      </w:r>
      <w:r>
        <w:rPr>
          <w:rFonts w:hint="eastAsia" w:ascii="宋体" w:hAnsi="宋体" w:eastAsia="宋体" w:cs="宋体"/>
          <w:color w:val="000000"/>
          <w:kern w:val="0"/>
          <w:sz w:val="24"/>
          <w:szCs w:val="24"/>
        </w:rPr>
        <w:t>符合相关国家、地方有关部门的要求。根据复合肥料实际生产工艺类型，吨复合肥料大气污染物排放中颗粒物应优于行业平均水平，即团粒法≤250</w:t>
      </w:r>
      <w:r>
        <w:rPr>
          <w:rFonts w:hint="eastAsia" w:ascii="宋体" w:hAnsi="宋体" w:eastAsia="宋体" w:cs="宋体"/>
          <w:sz w:val="24"/>
          <w:szCs w:val="24"/>
        </w:rPr>
        <w:t>g/t</w:t>
      </w:r>
      <w:r>
        <w:rPr>
          <w:rFonts w:hint="eastAsia" w:ascii="宋体" w:hAnsi="宋体" w:eastAsia="宋体" w:cs="宋体"/>
          <w:color w:val="000000"/>
          <w:kern w:val="0"/>
          <w:sz w:val="24"/>
          <w:szCs w:val="24"/>
        </w:rPr>
        <w:t>、熔体法≤450</w:t>
      </w:r>
      <w:r>
        <w:rPr>
          <w:rFonts w:hint="eastAsia" w:ascii="宋体" w:hAnsi="宋体" w:eastAsia="宋体" w:cs="宋体"/>
          <w:sz w:val="24"/>
          <w:szCs w:val="24"/>
        </w:rPr>
        <w:t>g/t；</w:t>
      </w:r>
      <w:r>
        <w:rPr>
          <w:rFonts w:hint="eastAsia" w:ascii="宋体" w:hAnsi="宋体" w:eastAsia="宋体" w:cs="宋体"/>
          <w:color w:val="000000"/>
          <w:kern w:val="0"/>
          <w:sz w:val="24"/>
          <w:szCs w:val="24"/>
        </w:rPr>
        <w:t>吨复合肥料大气污染物排放中氮氧化物应优于行业平均水平，即团粒法≤1500</w:t>
      </w:r>
      <w:r>
        <w:rPr>
          <w:rFonts w:hint="eastAsia" w:ascii="宋体" w:hAnsi="宋体" w:eastAsia="宋体" w:cs="宋体"/>
          <w:sz w:val="24"/>
          <w:szCs w:val="24"/>
        </w:rPr>
        <w:t>g/t</w:t>
      </w:r>
      <w:r>
        <w:rPr>
          <w:rFonts w:hint="eastAsia" w:ascii="宋体" w:hAnsi="宋体" w:eastAsia="宋体" w:cs="宋体"/>
          <w:color w:val="000000"/>
          <w:kern w:val="0"/>
          <w:sz w:val="24"/>
          <w:szCs w:val="24"/>
        </w:rPr>
        <w:t>、熔体法≤3000</w:t>
      </w:r>
      <w:r>
        <w:rPr>
          <w:rFonts w:hint="eastAsia" w:ascii="宋体" w:hAnsi="宋体" w:eastAsia="宋体" w:cs="宋体"/>
          <w:sz w:val="24"/>
          <w:szCs w:val="24"/>
        </w:rPr>
        <w:t>g/t</w:t>
      </w:r>
      <w:r>
        <w:rPr>
          <w:rFonts w:hint="eastAsia" w:ascii="宋体" w:hAnsi="宋体" w:eastAsia="宋体" w:cs="宋体"/>
          <w:color w:val="000000"/>
          <w:kern w:val="0"/>
          <w:sz w:val="24"/>
          <w:szCs w:val="24"/>
        </w:rPr>
        <w:t>；吨复合肥料大气污染物排放中氨应优于行业平均水平，即团粒法≤150</w:t>
      </w:r>
      <w:r>
        <w:rPr>
          <w:rFonts w:hint="eastAsia" w:ascii="宋体" w:hAnsi="宋体" w:eastAsia="宋体" w:cs="宋体"/>
          <w:sz w:val="24"/>
          <w:szCs w:val="24"/>
        </w:rPr>
        <w:t>g/t</w:t>
      </w:r>
      <w:r>
        <w:rPr>
          <w:rFonts w:hint="eastAsia" w:ascii="宋体" w:hAnsi="宋体" w:eastAsia="宋体" w:cs="宋体"/>
          <w:color w:val="000000"/>
          <w:kern w:val="0"/>
          <w:sz w:val="24"/>
          <w:szCs w:val="24"/>
        </w:rPr>
        <w:t>、熔体法≤300</w:t>
      </w:r>
      <w:r>
        <w:rPr>
          <w:rFonts w:hint="eastAsia" w:ascii="宋体" w:hAnsi="宋体" w:eastAsia="宋体" w:cs="宋体"/>
          <w:sz w:val="24"/>
          <w:szCs w:val="24"/>
        </w:rPr>
        <w:t>g/t。</w:t>
      </w:r>
    </w:p>
    <w:p>
      <w:pPr>
        <w:adjustRightInd w:val="0"/>
        <w:snapToGrid w:val="0"/>
        <w:spacing w:line="480" w:lineRule="exact"/>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废物资源化方面：根据复合肥料实际生产工艺类型，吨复合肥料生产原料氮损耗率应优于行业平均水平，即团粒法≤1%、熔体法≤1.5%</w:t>
      </w:r>
      <w:r>
        <w:rPr>
          <w:rFonts w:hint="eastAsia" w:ascii="宋体" w:hAnsi="宋体" w:eastAsia="宋体" w:cs="宋体"/>
          <w:sz w:val="24"/>
          <w:szCs w:val="24"/>
        </w:rPr>
        <w:t>、</w:t>
      </w:r>
      <w:r>
        <w:rPr>
          <w:rFonts w:hint="eastAsia" w:ascii="宋体" w:hAnsi="宋体" w:eastAsia="宋体" w:cs="宋体"/>
          <w:color w:val="000000"/>
          <w:kern w:val="0"/>
          <w:sz w:val="24"/>
          <w:szCs w:val="24"/>
        </w:rPr>
        <w:t>挤压法≤1%；吨复合肥料生产原料磷损耗率应优于行业平均水平，即团粒法≤1%、熔体法≤1%</w:t>
      </w:r>
      <w:r>
        <w:rPr>
          <w:rFonts w:hint="eastAsia" w:ascii="宋体" w:hAnsi="宋体" w:eastAsia="宋体" w:cs="宋体"/>
          <w:sz w:val="24"/>
          <w:szCs w:val="24"/>
        </w:rPr>
        <w:t>、</w:t>
      </w:r>
      <w:r>
        <w:rPr>
          <w:rFonts w:hint="eastAsia" w:ascii="宋体" w:hAnsi="宋体" w:eastAsia="宋体" w:cs="宋体"/>
          <w:color w:val="000000"/>
          <w:kern w:val="0"/>
          <w:sz w:val="24"/>
          <w:szCs w:val="24"/>
        </w:rPr>
        <w:t>挤压法≤1%；吨复合肥料生产原料钾损耗率应优于行业平均水平，即团粒法≤1%、熔体法≤1%</w:t>
      </w:r>
      <w:r>
        <w:rPr>
          <w:rFonts w:hint="eastAsia" w:ascii="宋体" w:hAnsi="宋体" w:eastAsia="宋体" w:cs="宋体"/>
          <w:sz w:val="24"/>
          <w:szCs w:val="24"/>
        </w:rPr>
        <w:t>、</w:t>
      </w:r>
      <w:r>
        <w:rPr>
          <w:rFonts w:hint="eastAsia" w:ascii="宋体" w:hAnsi="宋体" w:eastAsia="宋体" w:cs="宋体"/>
          <w:color w:val="000000"/>
          <w:kern w:val="0"/>
          <w:sz w:val="24"/>
          <w:szCs w:val="24"/>
        </w:rPr>
        <w:t>挤压法≤1%；工业固体废物处置处理率为100%；废水回用率达到100%。</w:t>
      </w:r>
    </w:p>
    <w:p>
      <w:pPr>
        <w:adjustRightInd w:val="0"/>
        <w:snapToGrid w:val="0"/>
        <w:spacing w:line="480" w:lineRule="exact"/>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能源低碳化方面：复合肥料单位产品能耗设置了限定值、准入制和先进值三个等级，根据复合肥料实际生产工艺类型，团粒法限定值26kgce/t、准入制23kgce/t、先进值17kgce/t；熔体法限定值24kgce/t、准入制20kgce/t、先进值14kgce/t；挤压法限定值19kgce/t、准入制16kgce/t、先进值11kgce/t。复合肥料单位产品碳排放量（kgeCO</w:t>
      </w:r>
      <w:r>
        <w:rPr>
          <w:rFonts w:hint="eastAsia" w:ascii="宋体" w:hAnsi="宋体" w:eastAsia="宋体" w:cs="宋体"/>
          <w:color w:val="000000"/>
          <w:kern w:val="0"/>
          <w:sz w:val="24"/>
          <w:szCs w:val="24"/>
          <w:vertAlign w:val="subscript"/>
        </w:rPr>
        <w:t>2</w:t>
      </w:r>
      <w:r>
        <w:rPr>
          <w:rFonts w:hint="eastAsia" w:ascii="宋体" w:hAnsi="宋体" w:eastAsia="宋体" w:cs="宋体"/>
          <w:color w:val="000000"/>
          <w:kern w:val="0"/>
          <w:sz w:val="24"/>
          <w:szCs w:val="24"/>
        </w:rPr>
        <w:t>/t）应优于行业平均水平，即团粒法≤100kgeCO</w:t>
      </w:r>
      <w:r>
        <w:rPr>
          <w:rFonts w:hint="eastAsia" w:ascii="宋体" w:hAnsi="宋体" w:eastAsia="宋体" w:cs="宋体"/>
          <w:color w:val="000000"/>
          <w:kern w:val="0"/>
          <w:sz w:val="24"/>
          <w:szCs w:val="24"/>
          <w:vertAlign w:val="subscript"/>
        </w:rPr>
        <w:t>2</w:t>
      </w:r>
      <w:r>
        <w:rPr>
          <w:rFonts w:hint="eastAsia" w:ascii="宋体" w:hAnsi="宋体" w:eastAsia="宋体" w:cs="宋体"/>
          <w:color w:val="000000"/>
          <w:kern w:val="0"/>
          <w:sz w:val="24"/>
          <w:szCs w:val="24"/>
        </w:rPr>
        <w:t>/t、熔体法≤95kgeCO</w:t>
      </w:r>
      <w:r>
        <w:rPr>
          <w:rFonts w:hint="eastAsia" w:ascii="宋体" w:hAnsi="宋体" w:eastAsia="宋体" w:cs="宋体"/>
          <w:color w:val="000000"/>
          <w:kern w:val="0"/>
          <w:sz w:val="24"/>
          <w:szCs w:val="24"/>
          <w:vertAlign w:val="subscript"/>
        </w:rPr>
        <w:t>2</w:t>
      </w:r>
      <w:r>
        <w:rPr>
          <w:rFonts w:hint="eastAsia" w:ascii="宋体" w:hAnsi="宋体" w:eastAsia="宋体" w:cs="宋体"/>
          <w:color w:val="000000"/>
          <w:kern w:val="0"/>
          <w:sz w:val="24"/>
          <w:szCs w:val="24"/>
        </w:rPr>
        <w:t>/t、挤压法≤85kgeCO</w:t>
      </w:r>
      <w:r>
        <w:rPr>
          <w:rFonts w:hint="eastAsia" w:ascii="宋体" w:hAnsi="宋体" w:eastAsia="宋体" w:cs="宋体"/>
          <w:color w:val="000000"/>
          <w:kern w:val="0"/>
          <w:sz w:val="24"/>
          <w:szCs w:val="24"/>
          <w:vertAlign w:val="subscript"/>
        </w:rPr>
        <w:t>2</w:t>
      </w:r>
      <w:r>
        <w:rPr>
          <w:rFonts w:hint="eastAsia" w:ascii="宋体" w:hAnsi="宋体" w:eastAsia="宋体" w:cs="宋体"/>
          <w:color w:val="000000"/>
          <w:kern w:val="0"/>
          <w:sz w:val="24"/>
          <w:szCs w:val="24"/>
        </w:rPr>
        <w:t>/t。</w:t>
      </w:r>
    </w:p>
    <w:p>
      <w:pPr>
        <w:adjustRightInd w:val="0"/>
        <w:snapToGrid w:val="0"/>
        <w:spacing w:before="120" w:beforeLines="50" w:after="120" w:afterLines="50" w:line="480" w:lineRule="exact"/>
        <w:jc w:val="left"/>
        <w:rPr>
          <w:rFonts w:asciiTheme="minorEastAsia" w:hAnsiTheme="minorEastAsia" w:cstheme="minorEastAsia"/>
          <w:b/>
          <w:bCs/>
          <w:sz w:val="24"/>
          <w:szCs w:val="24"/>
        </w:rPr>
      </w:pPr>
      <w:r>
        <w:rPr>
          <w:rFonts w:asciiTheme="minorEastAsia" w:hAnsiTheme="minorEastAsia" w:cstheme="minorEastAsia"/>
          <w:b/>
          <w:bCs/>
          <w:sz w:val="24"/>
          <w:szCs w:val="24"/>
        </w:rPr>
        <w:t>9</w:t>
      </w:r>
      <w:r>
        <w:rPr>
          <w:rFonts w:hint="eastAsia" w:asciiTheme="minorEastAsia" w:hAnsiTheme="minorEastAsia" w:cstheme="minorEastAsia"/>
          <w:b/>
          <w:bCs/>
          <w:sz w:val="24"/>
          <w:szCs w:val="24"/>
        </w:rPr>
        <w:t xml:space="preserve">.8  </w:t>
      </w:r>
      <w:r>
        <w:rPr>
          <w:rFonts w:asciiTheme="minorEastAsia" w:hAnsiTheme="minorEastAsia" w:cstheme="minorEastAsia"/>
          <w:b/>
          <w:bCs/>
          <w:sz w:val="24"/>
          <w:szCs w:val="24"/>
        </w:rPr>
        <w:t>数据来源</w:t>
      </w:r>
    </w:p>
    <w:p>
      <w:pPr>
        <w:autoSpaceDE w:val="0"/>
        <w:autoSpaceDN w:val="0"/>
        <w:adjustRightInd w:val="0"/>
        <w:spacing w:line="480" w:lineRule="exact"/>
        <w:ind w:left="119" w:right="153" w:firstLine="413"/>
        <w:jc w:val="left"/>
        <w:rPr>
          <w:rFonts w:ascii="微软雅黑" w:hAnsi="Times New Roman" w:eastAsia="微软雅黑" w:cs="微软雅黑"/>
          <w:kern w:val="0"/>
          <w:sz w:val="28"/>
          <w:szCs w:val="28"/>
        </w:rPr>
      </w:pPr>
      <w:r>
        <w:rPr>
          <w:rFonts w:hint="eastAsia" w:asciiTheme="minorEastAsia" w:hAnsiTheme="minorEastAsia" w:cstheme="minorEastAsia"/>
          <w:color w:val="000000"/>
          <w:kern w:val="0"/>
          <w:sz w:val="24"/>
          <w:szCs w:val="24"/>
        </w:rPr>
        <w:t>通过向行业多家代表性的企业发送“复合肥料行业绿色工厂评价要求”意见征求涵进行广泛的相关数据调查并对重点复合肥料企业实施定向调研等相关统计数据的收集方式，</w:t>
      </w:r>
      <w:r>
        <w:rPr>
          <w:rFonts w:hint="eastAsia" w:asciiTheme="minorEastAsia" w:hAnsiTheme="minorEastAsia" w:cstheme="minorEastAsia"/>
          <w:spacing w:val="-4"/>
          <w:kern w:val="0"/>
          <w:sz w:val="24"/>
          <w:szCs w:val="24"/>
        </w:rPr>
        <w:t>从</w:t>
      </w:r>
      <w:r>
        <w:rPr>
          <w:rFonts w:hint="eastAsia" w:asciiTheme="minorEastAsia" w:hAnsiTheme="minorEastAsia" w:cstheme="minorEastAsia"/>
          <w:spacing w:val="-5"/>
          <w:kern w:val="0"/>
          <w:sz w:val="24"/>
          <w:szCs w:val="24"/>
        </w:rPr>
        <w:t>绿色工厂的</w:t>
      </w:r>
      <w:r>
        <w:rPr>
          <w:rFonts w:hint="eastAsia" w:asciiTheme="minorEastAsia" w:hAnsiTheme="minorEastAsia" w:cstheme="minorEastAsia"/>
          <w:spacing w:val="-4"/>
          <w:kern w:val="0"/>
          <w:sz w:val="24"/>
          <w:szCs w:val="24"/>
        </w:rPr>
        <w:t>七</w:t>
      </w:r>
      <w:r>
        <w:rPr>
          <w:rFonts w:hint="eastAsia" w:asciiTheme="minorEastAsia" w:hAnsiTheme="minorEastAsia" w:cstheme="minorEastAsia"/>
          <w:kern w:val="0"/>
          <w:sz w:val="24"/>
          <w:szCs w:val="24"/>
        </w:rPr>
        <w:t>个</w:t>
      </w:r>
      <w:r>
        <w:rPr>
          <w:rFonts w:hint="eastAsia" w:asciiTheme="minorEastAsia" w:hAnsiTheme="minorEastAsia" w:cstheme="minorEastAsia"/>
          <w:spacing w:val="-2"/>
          <w:kern w:val="0"/>
          <w:sz w:val="24"/>
          <w:szCs w:val="24"/>
        </w:rPr>
        <w:t>指标</w:t>
      </w:r>
      <w:r>
        <w:rPr>
          <w:rFonts w:hint="eastAsia" w:asciiTheme="minorEastAsia" w:hAnsiTheme="minorEastAsia" w:cstheme="minorEastAsia"/>
          <w:spacing w:val="-5"/>
          <w:kern w:val="0"/>
          <w:sz w:val="24"/>
          <w:szCs w:val="24"/>
        </w:rPr>
        <w:t>要</w:t>
      </w:r>
      <w:r>
        <w:rPr>
          <w:rFonts w:hint="eastAsia" w:asciiTheme="minorEastAsia" w:hAnsiTheme="minorEastAsia" w:cstheme="minorEastAsia"/>
          <w:spacing w:val="-2"/>
          <w:kern w:val="0"/>
          <w:sz w:val="24"/>
          <w:szCs w:val="24"/>
        </w:rPr>
        <w:t>求</w:t>
      </w:r>
      <w:r>
        <w:rPr>
          <w:rFonts w:hint="eastAsia" w:asciiTheme="minorEastAsia" w:hAnsiTheme="minorEastAsia" w:cstheme="minorEastAsia"/>
          <w:spacing w:val="-5"/>
          <w:kern w:val="0"/>
          <w:sz w:val="24"/>
          <w:szCs w:val="24"/>
        </w:rPr>
        <w:t>，</w:t>
      </w:r>
      <w:r>
        <w:rPr>
          <w:rFonts w:hint="eastAsia" w:asciiTheme="minorEastAsia" w:hAnsiTheme="minorEastAsia" w:cstheme="minorEastAsia"/>
          <w:spacing w:val="-2"/>
          <w:kern w:val="0"/>
          <w:sz w:val="24"/>
          <w:szCs w:val="24"/>
        </w:rPr>
        <w:t>进</w:t>
      </w:r>
      <w:r>
        <w:rPr>
          <w:rFonts w:hint="eastAsia" w:asciiTheme="minorEastAsia" w:hAnsiTheme="minorEastAsia" w:cstheme="minorEastAsia"/>
          <w:spacing w:val="-5"/>
          <w:kern w:val="0"/>
          <w:sz w:val="24"/>
          <w:szCs w:val="24"/>
        </w:rPr>
        <w:t>行</w:t>
      </w:r>
      <w:r>
        <w:rPr>
          <w:rFonts w:hint="eastAsia" w:asciiTheme="minorEastAsia" w:hAnsiTheme="minorEastAsia" w:cstheme="minorEastAsia"/>
          <w:spacing w:val="-2"/>
          <w:kern w:val="0"/>
          <w:sz w:val="24"/>
          <w:szCs w:val="24"/>
        </w:rPr>
        <w:t>了</w:t>
      </w:r>
      <w:r>
        <w:rPr>
          <w:rFonts w:hint="eastAsia" w:asciiTheme="minorEastAsia" w:hAnsiTheme="minorEastAsia" w:cstheme="minorEastAsia"/>
          <w:kern w:val="0"/>
          <w:sz w:val="24"/>
          <w:szCs w:val="24"/>
        </w:rPr>
        <w:t>广泛的问</w:t>
      </w:r>
      <w:r>
        <w:rPr>
          <w:rFonts w:hint="eastAsia" w:asciiTheme="minorEastAsia" w:hAnsiTheme="minorEastAsia" w:cstheme="minorEastAsia"/>
          <w:spacing w:val="2"/>
          <w:kern w:val="0"/>
          <w:sz w:val="24"/>
          <w:szCs w:val="24"/>
        </w:rPr>
        <w:t>卷</w:t>
      </w:r>
      <w:r>
        <w:rPr>
          <w:rFonts w:hint="eastAsia" w:asciiTheme="minorEastAsia" w:hAnsiTheme="minorEastAsia" w:cstheme="minorEastAsia"/>
          <w:kern w:val="0"/>
          <w:sz w:val="24"/>
          <w:szCs w:val="24"/>
        </w:rPr>
        <w:t>调查和</w:t>
      </w:r>
      <w:r>
        <w:rPr>
          <w:rFonts w:hint="eastAsia" w:asciiTheme="minorEastAsia" w:hAnsiTheme="minorEastAsia" w:cstheme="minorEastAsia"/>
          <w:spacing w:val="2"/>
          <w:kern w:val="0"/>
          <w:sz w:val="24"/>
          <w:szCs w:val="24"/>
        </w:rPr>
        <w:t>定向</w:t>
      </w:r>
      <w:r>
        <w:rPr>
          <w:rFonts w:hint="eastAsia" w:asciiTheme="minorEastAsia" w:hAnsiTheme="minorEastAsia" w:cstheme="minorEastAsia"/>
          <w:kern w:val="0"/>
          <w:sz w:val="24"/>
          <w:szCs w:val="24"/>
        </w:rPr>
        <w:t>调研。在此</w:t>
      </w:r>
      <w:r>
        <w:rPr>
          <w:rFonts w:hint="eastAsia" w:asciiTheme="minorEastAsia" w:hAnsiTheme="minorEastAsia" w:cstheme="minorEastAsia"/>
          <w:spacing w:val="2"/>
          <w:kern w:val="0"/>
          <w:sz w:val="24"/>
          <w:szCs w:val="24"/>
        </w:rPr>
        <w:t>基</w:t>
      </w:r>
      <w:r>
        <w:rPr>
          <w:rFonts w:hint="eastAsia" w:asciiTheme="minorEastAsia" w:hAnsiTheme="minorEastAsia" w:cstheme="minorEastAsia"/>
          <w:kern w:val="0"/>
          <w:sz w:val="24"/>
          <w:szCs w:val="24"/>
        </w:rPr>
        <w:t>础上整</w:t>
      </w:r>
      <w:r>
        <w:rPr>
          <w:rFonts w:hint="eastAsia" w:asciiTheme="minorEastAsia" w:hAnsiTheme="minorEastAsia" w:cstheme="minorEastAsia"/>
          <w:spacing w:val="2"/>
          <w:kern w:val="0"/>
          <w:sz w:val="24"/>
          <w:szCs w:val="24"/>
        </w:rPr>
        <w:t>理</w:t>
      </w:r>
      <w:r>
        <w:rPr>
          <w:rFonts w:hint="eastAsia" w:asciiTheme="minorEastAsia" w:hAnsiTheme="minorEastAsia" w:cstheme="minorEastAsia"/>
          <w:kern w:val="0"/>
          <w:sz w:val="24"/>
          <w:szCs w:val="24"/>
        </w:rPr>
        <w:t>出来了《复合肥料行业</w:t>
      </w:r>
      <w:r>
        <w:rPr>
          <w:rFonts w:hint="eastAsia" w:asciiTheme="minorEastAsia" w:hAnsiTheme="minorEastAsia" w:cstheme="minorEastAsia"/>
          <w:spacing w:val="2"/>
          <w:kern w:val="0"/>
          <w:sz w:val="24"/>
          <w:szCs w:val="24"/>
        </w:rPr>
        <w:t>绿</w:t>
      </w:r>
      <w:r>
        <w:rPr>
          <w:rFonts w:hint="eastAsia" w:asciiTheme="minorEastAsia" w:hAnsiTheme="minorEastAsia" w:cstheme="minorEastAsia"/>
          <w:kern w:val="0"/>
          <w:sz w:val="24"/>
          <w:szCs w:val="24"/>
        </w:rPr>
        <w:t>色工厂评价要求》的数据，又参</w:t>
      </w:r>
      <w:r>
        <w:rPr>
          <w:rFonts w:hint="eastAsia" w:asciiTheme="minorEastAsia" w:hAnsiTheme="minorEastAsia" w:cstheme="minorEastAsia"/>
          <w:spacing w:val="-2"/>
          <w:kern w:val="0"/>
          <w:sz w:val="24"/>
          <w:szCs w:val="24"/>
        </w:rPr>
        <w:t>考</w:t>
      </w:r>
      <w:r>
        <w:rPr>
          <w:rFonts w:hint="eastAsia" w:asciiTheme="minorEastAsia" w:hAnsiTheme="minorEastAsia" w:cstheme="minorEastAsia"/>
          <w:kern w:val="0"/>
          <w:sz w:val="24"/>
          <w:szCs w:val="24"/>
        </w:rPr>
        <w:t>了</w:t>
      </w:r>
      <w:r>
        <w:rPr>
          <w:rFonts w:hint="eastAsia" w:asciiTheme="minorEastAsia" w:hAnsiTheme="minorEastAsia" w:cstheme="minorEastAsia"/>
          <w:color w:val="000000"/>
          <w:kern w:val="0"/>
          <w:sz w:val="24"/>
          <w:szCs w:val="24"/>
        </w:rPr>
        <w:t>GB 162</w:t>
      </w:r>
      <w:r>
        <w:rPr>
          <w:rFonts w:hint="eastAsia" w:asciiTheme="minorEastAsia" w:hAnsiTheme="minorEastAsia" w:cstheme="minorEastAsia"/>
          <w:kern w:val="0"/>
          <w:sz w:val="24"/>
          <w:szCs w:val="24"/>
        </w:rPr>
        <w:t>97、HG/T 5047等标准中的相关指标数据，力求全面客观反映行业的实际状况。全面、系统地了解复合</w:t>
      </w:r>
      <w:r>
        <w:rPr>
          <w:rFonts w:hint="eastAsia" w:asciiTheme="minorEastAsia" w:hAnsiTheme="minorEastAsia" w:cstheme="minorEastAsia"/>
          <w:spacing w:val="-5"/>
          <w:kern w:val="0"/>
          <w:sz w:val="24"/>
          <w:szCs w:val="24"/>
        </w:rPr>
        <w:t>肥料行业</w:t>
      </w:r>
      <w:r>
        <w:rPr>
          <w:rFonts w:hint="eastAsia" w:asciiTheme="minorEastAsia" w:hAnsiTheme="minorEastAsia" w:cstheme="minorEastAsia"/>
          <w:spacing w:val="-7"/>
          <w:kern w:val="0"/>
          <w:sz w:val="24"/>
          <w:szCs w:val="24"/>
        </w:rPr>
        <w:t>生</w:t>
      </w:r>
      <w:r>
        <w:rPr>
          <w:rFonts w:hint="eastAsia" w:asciiTheme="minorEastAsia" w:hAnsiTheme="minorEastAsia" w:cstheme="minorEastAsia"/>
          <w:spacing w:val="-5"/>
          <w:kern w:val="0"/>
          <w:sz w:val="24"/>
          <w:szCs w:val="24"/>
        </w:rPr>
        <w:t>产</w:t>
      </w:r>
      <w:r>
        <w:rPr>
          <w:rFonts w:hint="eastAsia" w:asciiTheme="minorEastAsia" w:hAnsiTheme="minorEastAsia" w:cstheme="minorEastAsia"/>
          <w:spacing w:val="-7"/>
          <w:kern w:val="0"/>
          <w:sz w:val="24"/>
          <w:szCs w:val="24"/>
        </w:rPr>
        <w:t>和</w:t>
      </w:r>
      <w:r>
        <w:rPr>
          <w:rFonts w:hint="eastAsia" w:asciiTheme="minorEastAsia" w:hAnsiTheme="minorEastAsia" w:cstheme="minorEastAsia"/>
          <w:spacing w:val="-5"/>
          <w:kern w:val="0"/>
          <w:sz w:val="24"/>
          <w:szCs w:val="24"/>
        </w:rPr>
        <w:t>管理的各个环节。</w:t>
      </w:r>
    </w:p>
    <w:p>
      <w:pPr>
        <w:adjustRightInd w:val="0"/>
        <w:snapToGrid w:val="0"/>
        <w:spacing w:before="120" w:beforeLines="50" w:after="120" w:afterLines="50" w:line="480" w:lineRule="exact"/>
        <w:jc w:val="left"/>
        <w:rPr>
          <w:rFonts w:ascii="Microsoft JhengHei" w:hAnsi="Times New Roman" w:eastAsia="Microsoft JhengHei" w:cs="Microsoft JhengHei"/>
          <w:kern w:val="0"/>
          <w:sz w:val="20"/>
          <w:szCs w:val="20"/>
        </w:rPr>
      </w:pPr>
      <w:r>
        <w:rPr>
          <w:rFonts w:hint="eastAsia" w:asciiTheme="minorEastAsia" w:hAnsiTheme="minorEastAsia" w:cstheme="minorEastAsia"/>
          <w:b/>
          <w:bCs/>
          <w:sz w:val="24"/>
          <w:szCs w:val="24"/>
        </w:rPr>
        <w:t>10</w:t>
      </w:r>
      <w:r>
        <w:rPr>
          <w:rFonts w:asciiTheme="minorEastAsia" w:hAnsiTheme="minorEastAsia" w:cstheme="minorEastAsia"/>
          <w:b/>
          <w:bCs/>
          <w:sz w:val="24"/>
          <w:szCs w:val="24"/>
        </w:rPr>
        <w:t xml:space="preserve">  评价</w:t>
      </w:r>
    </w:p>
    <w:p>
      <w:pPr>
        <w:adjustRightInd w:val="0"/>
        <w:snapToGrid w:val="0"/>
        <w:spacing w:before="120" w:beforeLines="50" w:after="120" w:afterLines="50" w:line="480" w:lineRule="exact"/>
        <w:jc w:val="left"/>
        <w:rPr>
          <w:rFonts w:ascii="Microsoft JhengHei" w:hAnsi="Times New Roman" w:eastAsia="Microsoft JhengHei" w:cs="Microsoft JhengHei"/>
          <w:kern w:val="0"/>
          <w:sz w:val="28"/>
          <w:szCs w:val="28"/>
        </w:rPr>
      </w:pPr>
      <w:r>
        <w:rPr>
          <w:rFonts w:hint="eastAsia" w:asciiTheme="minorEastAsia" w:hAnsiTheme="minorEastAsia" w:cstheme="minorEastAsia"/>
          <w:b/>
          <w:bCs/>
          <w:sz w:val="24"/>
          <w:szCs w:val="24"/>
        </w:rPr>
        <w:t>10.1 评价程序</w:t>
      </w:r>
    </w:p>
    <w:p>
      <w:pPr>
        <w:autoSpaceDE w:val="0"/>
        <w:autoSpaceDN w:val="0"/>
        <w:adjustRightInd w:val="0"/>
        <w:ind w:left="539"/>
        <w:jc w:val="left"/>
        <w:rPr>
          <w:rFonts w:ascii="微软雅黑" w:hAnsi="Times New Roman" w:eastAsia="微软雅黑" w:cs="微软雅黑"/>
          <w:kern w:val="0"/>
          <w:szCs w:val="21"/>
        </w:rPr>
        <w:sectPr>
          <w:pgSz w:w="11920" w:h="16840"/>
          <w:pgMar w:top="1320" w:right="1200" w:bottom="280" w:left="1300" w:header="0" w:footer="757" w:gutter="0"/>
          <w:cols w:space="720" w:num="1"/>
        </w:sectPr>
      </w:pPr>
      <w:r>
        <w:rPr>
          <w:rFonts w:hint="eastAsia" w:asciiTheme="minorEastAsia" w:hAnsiTheme="minorEastAsia" w:cstheme="minorEastAsia"/>
          <w:kern w:val="0"/>
          <w:sz w:val="24"/>
          <w:szCs w:val="24"/>
        </w:rPr>
        <w:t>绿色工厂评价程序包括企业自评价和第三方评价，绿色工厂评价程序下图所示。</w:t>
      </w:r>
      <w:r>
        <w:drawing>
          <wp:inline distT="0" distB="0" distL="114300" distR="114300">
            <wp:extent cx="4968875" cy="6294120"/>
            <wp:effectExtent l="0" t="0" r="3175" b="1143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4968875" cy="6294120"/>
                    </a:xfrm>
                    <a:prstGeom prst="rect">
                      <a:avLst/>
                    </a:prstGeom>
                    <a:noFill/>
                    <a:ln>
                      <a:noFill/>
                    </a:ln>
                  </pic:spPr>
                </pic:pic>
              </a:graphicData>
            </a:graphic>
          </wp:inline>
        </w:drawing>
      </w:r>
    </w:p>
    <w:p>
      <w:pPr>
        <w:adjustRightInd w:val="0"/>
        <w:snapToGrid w:val="0"/>
        <w:spacing w:before="120" w:beforeLines="50" w:after="120" w:afterLines="50" w:line="480" w:lineRule="exact"/>
        <w:jc w:val="left"/>
        <w:rPr>
          <w:rFonts w:asciiTheme="minorEastAsia" w:hAnsiTheme="minorEastAsia" w:cstheme="minorEastAsia"/>
          <w:b/>
          <w:bCs/>
          <w:sz w:val="24"/>
          <w:szCs w:val="24"/>
        </w:rPr>
      </w:pPr>
      <w:r>
        <w:rPr>
          <w:rFonts w:hint="eastAsia" w:asciiTheme="minorEastAsia" w:hAnsiTheme="minorEastAsia" w:cstheme="minorEastAsia"/>
          <w:b/>
          <w:bCs/>
          <w:sz w:val="24"/>
          <w:szCs w:val="24"/>
        </w:rPr>
        <w:t>10.2 评价报告</w:t>
      </w:r>
    </w:p>
    <w:p>
      <w:pPr>
        <w:adjustRightInd w:val="0"/>
        <w:snapToGrid w:val="0"/>
        <w:spacing w:before="120" w:beforeLines="50" w:after="120" w:afterLines="50" w:line="480" w:lineRule="exact"/>
        <w:jc w:val="left"/>
        <w:rPr>
          <w:rFonts w:ascii="Microsoft JhengHei" w:hAnsi="Times New Roman" w:eastAsia="Microsoft JhengHei" w:cs="Microsoft JhengHei"/>
          <w:kern w:val="0"/>
          <w:sz w:val="28"/>
          <w:szCs w:val="28"/>
        </w:rPr>
      </w:pPr>
      <w:r>
        <w:rPr>
          <w:rFonts w:hint="eastAsia" w:asciiTheme="minorEastAsia" w:hAnsiTheme="minorEastAsia" w:cstheme="minorEastAsia"/>
          <w:b/>
          <w:bCs/>
          <w:sz w:val="24"/>
          <w:szCs w:val="24"/>
        </w:rPr>
        <w:t>10.2.1  绿色工厂自评价报告</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《复合肥料行业绿色工厂自评报告》内容包括但不限于：</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a) 工厂名称、地址、行业、法定代表人、简介等基本信息，发展现状、工业产业和生产经营情况；</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b) 工厂在绿色发展方面开展的重点工作及取得成绩，下一步拟开展重点工作等；</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c) 工厂的建筑、装置规模、工艺路线、主要耗能设备、计量设备、照明配置情况，以及相关标准执行情况；</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d) 工厂各项管理体系建设情况；</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e) 工厂能源投入、资源投入、采购等方面的现状，以及目前正实施的节约能源资源项目；</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f) 工厂生产时的设计、能效、有害物质限制使用等情况；</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g) 工厂主要污染物处理设备配置及运行情况，大气污染物、水体污染物、固体废物、噪声、温室气体的排放及管理等现状；</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h) 依据工厂情况和本标准，开展绿色工厂自评价；</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i) 其他支持证明材料。</w:t>
      </w:r>
    </w:p>
    <w:p>
      <w:pPr>
        <w:adjustRightInd w:val="0"/>
        <w:snapToGrid w:val="0"/>
        <w:spacing w:before="120" w:beforeLines="50" w:after="120" w:afterLines="50" w:line="480" w:lineRule="exact"/>
        <w:jc w:val="left"/>
        <w:rPr>
          <w:rFonts w:ascii="Microsoft JhengHei" w:hAnsi="Times New Roman" w:eastAsia="Microsoft JhengHei" w:cs="Microsoft JhengHei"/>
          <w:kern w:val="0"/>
          <w:sz w:val="28"/>
          <w:szCs w:val="28"/>
        </w:rPr>
      </w:pPr>
      <w:r>
        <w:rPr>
          <w:rFonts w:hint="eastAsia" w:asciiTheme="minorEastAsia" w:hAnsiTheme="minorEastAsia" w:cstheme="minorEastAsia"/>
          <w:b/>
          <w:bCs/>
          <w:sz w:val="24"/>
          <w:szCs w:val="24"/>
        </w:rPr>
        <w:t>10.2.2  第三方评价报告</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《复合肥料行业绿色工厂第三方评价报告》内容包括但不限于：</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a) 绿色工厂评价的目的、范围及准则；</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b) 绿色工厂评价过程，主要包括评价组织安排、文件评审情况、现场评估情况、核查报告编写及内部技术复核情况；</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c) 对申报工厂的基础设施、管理体系、能源与资源投入、产品、环境排放、绩效等方面进行描述，并对工厂自评报告中的相关内容进行核实；</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d) 核实数据真实性、计算范围及计算方法，检查相关计量设备和有关标准的执行等情况；</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e) 对企业自评所出现的问题情况进行描述；</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f) 对申报工厂是否符合绿色工厂要求进行评价，说明各评价指标值及是否符合评价要求情况， 描述主要创建做法及工作亮点等；</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g) 对持续创建绿色工厂的下一步工作提出建议；</w:t>
      </w:r>
    </w:p>
    <w:p>
      <w:pPr>
        <w:autoSpaceDE w:val="0"/>
        <w:autoSpaceDN w:val="0"/>
        <w:adjustRightInd w:val="0"/>
        <w:spacing w:line="480" w:lineRule="exact"/>
        <w:ind w:left="119" w:right="153" w:firstLine="413"/>
        <w:jc w:val="left"/>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h)  评价支持材料。</w:t>
      </w:r>
    </w:p>
    <w:p>
      <w:pPr>
        <w:adjustRightInd w:val="0"/>
        <w:snapToGrid w:val="0"/>
        <w:spacing w:before="120" w:beforeLines="50" w:after="120" w:afterLines="50" w:line="480" w:lineRule="exact"/>
        <w:jc w:val="left"/>
        <w:rPr>
          <w:rFonts w:ascii="Microsoft JhengHei" w:hAnsi="Times New Roman" w:eastAsia="Microsoft JhengHei" w:cs="Microsoft JhengHei"/>
          <w:kern w:val="0"/>
          <w:sz w:val="28"/>
          <w:szCs w:val="28"/>
        </w:rPr>
      </w:pPr>
      <w:r>
        <w:rPr>
          <w:rFonts w:hint="eastAsia" w:asciiTheme="minorEastAsia" w:hAnsiTheme="minorEastAsia" w:cstheme="minorEastAsia"/>
          <w:b/>
          <w:bCs/>
          <w:sz w:val="24"/>
          <w:szCs w:val="24"/>
        </w:rPr>
        <w:t>11  标准实施的可行性分析</w:t>
      </w:r>
    </w:p>
    <w:p>
      <w:pPr>
        <w:keepNext w:val="0"/>
        <w:keepLines w:val="0"/>
        <w:pageBreakBefore w:val="0"/>
        <w:widowControl w:val="0"/>
        <w:kinsoku/>
        <w:wordWrap/>
        <w:overflowPunct/>
        <w:topLinePunct w:val="0"/>
        <w:autoSpaceDE/>
        <w:autoSpaceDN/>
        <w:bidi w:val="0"/>
        <w:adjustRightInd w:val="0"/>
        <w:snapToGrid w:val="0"/>
        <w:spacing w:line="480" w:lineRule="exact"/>
        <w:ind w:firstLine="460" w:firstLineChars="200"/>
        <w:jc w:val="left"/>
        <w:textAlignment w:val="auto"/>
        <w:rPr>
          <w:rFonts w:asciiTheme="minorEastAsia" w:hAnsiTheme="minorEastAsia" w:cstheme="minorEastAsia"/>
          <w:spacing w:val="-5"/>
          <w:kern w:val="0"/>
          <w:sz w:val="24"/>
          <w:szCs w:val="24"/>
        </w:rPr>
      </w:pPr>
      <w:r>
        <w:rPr>
          <w:rFonts w:hint="eastAsia" w:asciiTheme="minorEastAsia" w:hAnsiTheme="minorEastAsia" w:cstheme="minorEastAsia"/>
          <w:spacing w:val="-5"/>
          <w:kern w:val="0"/>
          <w:sz w:val="24"/>
          <w:szCs w:val="24"/>
        </w:rPr>
        <w:t>《复合肥料行业绿色工厂评价要求》将综合多家复合肥料生产企业的实际工厂生产情况，规定、指导复合肥料生产工厂基础设施、管理体系、能源与资源投入、产品、环境排放、绩效等方面各相关指标的要求，各项指标内容符合复合肥料生产工厂的实际情况，可获取、可评价。标准符合操作可行性。</w:t>
      </w:r>
    </w:p>
    <w:p>
      <w:pPr>
        <w:adjustRightInd w:val="0"/>
        <w:snapToGrid w:val="0"/>
        <w:spacing w:before="120" w:beforeLines="50" w:after="120" w:afterLines="50" w:line="480" w:lineRule="exact"/>
        <w:jc w:val="left"/>
        <w:rPr>
          <w:rFonts w:ascii="Microsoft JhengHei" w:hAnsi="Times New Roman" w:eastAsia="Microsoft JhengHei" w:cs="Microsoft JhengHei"/>
          <w:kern w:val="0"/>
          <w:sz w:val="28"/>
          <w:szCs w:val="28"/>
        </w:rPr>
      </w:pPr>
      <w:r>
        <w:rPr>
          <w:rFonts w:hint="eastAsia" w:asciiTheme="minorEastAsia" w:hAnsiTheme="minorEastAsia" w:cstheme="minorEastAsia"/>
          <w:b/>
          <w:bCs/>
          <w:sz w:val="24"/>
          <w:szCs w:val="24"/>
        </w:rPr>
        <w:t>12  与国家标准、行业标准等的协调性</w:t>
      </w:r>
    </w:p>
    <w:p>
      <w:pPr>
        <w:keepNext w:val="0"/>
        <w:keepLines w:val="0"/>
        <w:pageBreakBefore w:val="0"/>
        <w:widowControl w:val="0"/>
        <w:kinsoku/>
        <w:wordWrap/>
        <w:overflowPunct/>
        <w:topLinePunct w:val="0"/>
        <w:bidi w:val="0"/>
        <w:adjustRightInd w:val="0"/>
        <w:snapToGrid w:val="0"/>
        <w:spacing w:line="480" w:lineRule="exact"/>
        <w:ind w:firstLine="460" w:firstLineChars="200"/>
        <w:textAlignment w:val="auto"/>
        <w:rPr>
          <w:rFonts w:ascii="微软雅黑" w:hAnsi="Times New Roman" w:eastAsia="微软雅黑" w:cs="微软雅黑"/>
          <w:kern w:val="0"/>
          <w:szCs w:val="21"/>
        </w:rPr>
        <w:sectPr>
          <w:pgSz w:w="11920" w:h="16840"/>
          <w:pgMar w:top="1240" w:right="1240" w:bottom="280" w:left="1300" w:header="0" w:footer="757" w:gutter="0"/>
          <w:cols w:equalWidth="0" w:num="1">
            <w:col w:w="9380"/>
          </w:cols>
        </w:sectPr>
      </w:pPr>
      <w:r>
        <w:rPr>
          <w:rFonts w:hint="eastAsia" w:asciiTheme="minorEastAsia" w:hAnsiTheme="minorEastAsia" w:cstheme="minorEastAsia"/>
          <w:spacing w:val="-5"/>
          <w:kern w:val="0"/>
          <w:sz w:val="24"/>
          <w:szCs w:val="24"/>
        </w:rPr>
        <w:t>《复合肥料行业绿色工厂评价要求》目前没有国家标准和行业标准。与该标准相关的国家或行业标准有：GB/T 15063《复合肥料》；GB/T 6566《环境空气质量标准》；GB/T 7119《节水型企业评价原则》；GB/T 19001《质量管理体系要求》；GB/T 38400《肥料中有毒有害物质的限量要求》等，该标准部分内容参照了这些标准，同时按照GB/T 1.1、GB/T 36132给出的规则进行起草。</w:t>
      </w:r>
    </w:p>
    <w:p>
      <w:pPr>
        <w:adjustRightInd w:val="0"/>
        <w:snapToGrid w:val="0"/>
        <w:spacing w:before="120" w:beforeLines="50" w:after="120" w:afterLines="50" w:line="480" w:lineRule="exact"/>
        <w:jc w:val="left"/>
        <w:rPr>
          <w:rFonts w:ascii="微软雅黑" w:hAnsi="Times New Roman" w:eastAsia="微软雅黑" w:cs="微软雅黑"/>
          <w:kern w:val="0"/>
          <w:sz w:val="28"/>
          <w:szCs w:val="28"/>
        </w:rPr>
      </w:pPr>
      <w:r>
        <w:rPr>
          <w:rFonts w:hint="eastAsia" w:asciiTheme="minorEastAsia" w:hAnsiTheme="minorEastAsia" w:cstheme="minorEastAsia"/>
          <w:b/>
          <w:bCs/>
          <w:sz w:val="24"/>
          <w:szCs w:val="24"/>
        </w:rPr>
        <mc:AlternateContent>
          <mc:Choice Requires="wps">
            <w:drawing>
              <wp:anchor distT="0" distB="0" distL="114300" distR="114300" simplePos="0" relativeHeight="251660288" behindDoc="1" locked="0" layoutInCell="0" allowOverlap="1">
                <wp:simplePos x="0" y="0"/>
                <wp:positionH relativeFrom="page">
                  <wp:posOffset>889000</wp:posOffset>
                </wp:positionH>
                <wp:positionV relativeFrom="paragraph">
                  <wp:posOffset>918210</wp:posOffset>
                </wp:positionV>
                <wp:extent cx="8884920" cy="486410"/>
                <wp:effectExtent l="0" t="0" r="0" b="0"/>
                <wp:wrapNone/>
                <wp:docPr id="32" name="文本框 34"/>
                <wp:cNvGraphicFramePr/>
                <a:graphic xmlns:a="http://schemas.openxmlformats.org/drawingml/2006/main">
                  <a:graphicData uri="http://schemas.microsoft.com/office/word/2010/wordprocessingShape">
                    <wps:wsp>
                      <wps:cNvSpPr txBox="1"/>
                      <wps:spPr>
                        <a:xfrm>
                          <a:off x="0" y="0"/>
                          <a:ext cx="8884920" cy="486410"/>
                        </a:xfrm>
                        <a:prstGeom prst="rect">
                          <a:avLst/>
                        </a:prstGeom>
                        <a:noFill/>
                        <a:ln>
                          <a:noFill/>
                        </a:ln>
                      </wps:spPr>
                      <wps:txbx>
                        <w:txbxContent>
                          <w:tbl>
                            <w:tblPr>
                              <w:tblStyle w:val="4"/>
                              <w:tblW w:w="0" w:type="auto"/>
                              <w:jc w:val="center"/>
                              <w:tblLayout w:type="fixed"/>
                              <w:tblCellMar>
                                <w:top w:w="0" w:type="dxa"/>
                                <w:left w:w="0" w:type="dxa"/>
                                <w:bottom w:w="0" w:type="dxa"/>
                                <w:right w:w="0" w:type="dxa"/>
                              </w:tblCellMar>
                            </w:tblPr>
                            <w:tblGrid>
                              <w:gridCol w:w="6396"/>
                              <w:gridCol w:w="4042"/>
                              <w:gridCol w:w="3554"/>
                            </w:tblGrid>
                            <w:tr>
                              <w:tblPrEx>
                                <w:tblCellMar>
                                  <w:top w:w="0" w:type="dxa"/>
                                  <w:left w:w="0" w:type="dxa"/>
                                  <w:bottom w:w="0" w:type="dxa"/>
                                  <w:right w:w="0" w:type="dxa"/>
                                </w:tblCellMar>
                              </w:tblPrEx>
                              <w:trPr>
                                <w:trHeight w:val="377" w:hRule="exact"/>
                                <w:jc w:val="center"/>
                              </w:trPr>
                              <w:tc>
                                <w:tcPr>
                                  <w:tcW w:w="6396" w:type="dxa"/>
                                  <w:tcBorders>
                                    <w:top w:val="nil"/>
                                    <w:left w:val="nil"/>
                                    <w:bottom w:val="nil"/>
                                    <w:right w:val="nil"/>
                                  </w:tcBorders>
                                </w:tcPr>
                                <w:p>
                                  <w:pPr>
                                    <w:tabs>
                                      <w:tab w:val="left" w:pos="4240"/>
                                    </w:tabs>
                                    <w:autoSpaceDE w:val="0"/>
                                    <w:autoSpaceDN w:val="0"/>
                                    <w:adjustRightInd w:val="0"/>
                                    <w:spacing w:line="336" w:lineRule="exact"/>
                                    <w:ind w:left="40"/>
                                    <w:jc w:val="left"/>
                                    <w:rPr>
                                      <w:rFonts w:ascii="Times New Roman" w:hAnsi="Times New Roman" w:cs="Times New Roman"/>
                                      <w:kern w:val="0"/>
                                      <w:sz w:val="24"/>
                                      <w:szCs w:val="24"/>
                                    </w:rPr>
                                  </w:pPr>
                                  <w:r>
                                    <w:rPr>
                                      <w:rFonts w:hint="eastAsia" w:ascii="微软雅黑" w:hAnsi="Times New Roman" w:eastAsia="微软雅黑" w:cs="微软雅黑"/>
                                      <w:kern w:val="0"/>
                                      <w:position w:val="-1"/>
                                      <w:szCs w:val="21"/>
                                    </w:rPr>
                                    <w:t>标准</w:t>
                                  </w:r>
                                  <w:r>
                                    <w:rPr>
                                      <w:rFonts w:hint="eastAsia" w:ascii="微软雅黑" w:hAnsi="Times New Roman" w:eastAsia="微软雅黑" w:cs="微软雅黑"/>
                                      <w:spacing w:val="-2"/>
                                      <w:kern w:val="0"/>
                                      <w:position w:val="-1"/>
                                      <w:szCs w:val="21"/>
                                    </w:rPr>
                                    <w:t>项</w:t>
                                  </w:r>
                                  <w:r>
                                    <w:rPr>
                                      <w:rFonts w:hint="eastAsia" w:ascii="微软雅黑" w:hAnsi="Times New Roman" w:eastAsia="微软雅黑" w:cs="微软雅黑"/>
                                      <w:kern w:val="0"/>
                                      <w:position w:val="-1"/>
                                      <w:szCs w:val="21"/>
                                    </w:rPr>
                                    <w:t>目</w:t>
                                  </w:r>
                                  <w:r>
                                    <w:rPr>
                                      <w:rFonts w:hint="eastAsia" w:ascii="微软雅黑" w:hAnsi="Times New Roman" w:eastAsia="微软雅黑" w:cs="微软雅黑"/>
                                      <w:spacing w:val="-2"/>
                                      <w:kern w:val="0"/>
                                      <w:position w:val="-1"/>
                                      <w:szCs w:val="21"/>
                                    </w:rPr>
                                    <w:t>名</w:t>
                                  </w:r>
                                  <w:r>
                                    <w:rPr>
                                      <w:rFonts w:hint="eastAsia" w:ascii="微软雅黑" w:hAnsi="Times New Roman" w:eastAsia="微软雅黑" w:cs="微软雅黑"/>
                                      <w:kern w:val="0"/>
                                      <w:position w:val="-1"/>
                                      <w:szCs w:val="21"/>
                                    </w:rPr>
                                    <w:t>称</w:t>
                                  </w:r>
                                  <w:r>
                                    <w:rPr>
                                      <w:rFonts w:hint="eastAsia" w:ascii="微软雅黑" w:hAnsi="Times New Roman" w:eastAsia="微软雅黑" w:cs="微软雅黑"/>
                                      <w:spacing w:val="-2"/>
                                      <w:kern w:val="0"/>
                                      <w:position w:val="-1"/>
                                      <w:szCs w:val="21"/>
                                    </w:rPr>
                                    <w:t>：</w:t>
                                  </w:r>
                                  <w:r>
                                    <w:rPr>
                                      <w:rFonts w:hint="eastAsia" w:ascii="微软雅黑" w:hAnsi="Times New Roman" w:eastAsia="微软雅黑" w:cs="微软雅黑"/>
                                      <w:kern w:val="0"/>
                                      <w:position w:val="-1"/>
                                      <w:szCs w:val="21"/>
                                    </w:rPr>
                                    <w:t>复合肥料行业</w:t>
                                  </w:r>
                                  <w:r>
                                    <w:rPr>
                                      <w:rFonts w:hint="eastAsia" w:ascii="微软雅黑" w:hAnsi="Times New Roman" w:eastAsia="微软雅黑" w:cs="微软雅黑"/>
                                      <w:spacing w:val="-2"/>
                                      <w:kern w:val="0"/>
                                      <w:position w:val="-1"/>
                                      <w:szCs w:val="21"/>
                                    </w:rPr>
                                    <w:t>绿</w:t>
                                  </w:r>
                                  <w:r>
                                    <w:rPr>
                                      <w:rFonts w:hint="eastAsia" w:ascii="微软雅黑" w:hAnsi="Times New Roman" w:eastAsia="微软雅黑" w:cs="微软雅黑"/>
                                      <w:kern w:val="0"/>
                                      <w:position w:val="-1"/>
                                      <w:szCs w:val="21"/>
                                    </w:rPr>
                                    <w:t>色</w:t>
                                  </w:r>
                                  <w:r>
                                    <w:rPr>
                                      <w:rFonts w:hint="eastAsia" w:ascii="微软雅黑" w:hAnsi="Times New Roman" w:eastAsia="微软雅黑" w:cs="微软雅黑"/>
                                      <w:spacing w:val="-2"/>
                                      <w:kern w:val="0"/>
                                      <w:position w:val="-1"/>
                                      <w:szCs w:val="21"/>
                                    </w:rPr>
                                    <w:t>工</w:t>
                                  </w:r>
                                  <w:r>
                                    <w:rPr>
                                      <w:rFonts w:hint="eastAsia" w:ascii="微软雅黑" w:hAnsi="Times New Roman" w:eastAsia="微软雅黑" w:cs="微软雅黑"/>
                                      <w:kern w:val="0"/>
                                      <w:position w:val="-1"/>
                                      <w:szCs w:val="21"/>
                                    </w:rPr>
                                    <w:t>厂</w:t>
                                  </w:r>
                                  <w:r>
                                    <w:rPr>
                                      <w:rFonts w:hint="eastAsia" w:ascii="微软雅黑" w:hAnsi="Times New Roman" w:eastAsia="微软雅黑" w:cs="微软雅黑"/>
                                      <w:spacing w:val="-2"/>
                                      <w:kern w:val="0"/>
                                      <w:position w:val="-1"/>
                                      <w:szCs w:val="21"/>
                                    </w:rPr>
                                    <w:t>评</w:t>
                                  </w:r>
                                  <w:r>
                                    <w:rPr>
                                      <w:rFonts w:hint="eastAsia" w:ascii="微软雅黑" w:hAnsi="Times New Roman" w:eastAsia="微软雅黑" w:cs="微软雅黑"/>
                                      <w:kern w:val="0"/>
                                      <w:position w:val="-1"/>
                                      <w:szCs w:val="21"/>
                                    </w:rPr>
                                    <w:t>价</w:t>
                                  </w:r>
                                  <w:r>
                                    <w:rPr>
                                      <w:rFonts w:hint="eastAsia" w:ascii="微软雅黑" w:hAnsi="Times New Roman" w:eastAsia="微软雅黑" w:cs="微软雅黑"/>
                                      <w:spacing w:val="1"/>
                                      <w:kern w:val="0"/>
                                      <w:position w:val="-1"/>
                                      <w:szCs w:val="21"/>
                                    </w:rPr>
                                    <w:t>要</w:t>
                                  </w:r>
                                  <w:r>
                                    <w:rPr>
                                      <w:rFonts w:hint="eastAsia" w:ascii="微软雅黑" w:hAnsi="Times New Roman" w:eastAsia="微软雅黑" w:cs="微软雅黑"/>
                                      <w:kern w:val="0"/>
                                      <w:position w:val="-1"/>
                                      <w:szCs w:val="21"/>
                                    </w:rPr>
                                    <w:t>求</w:t>
                                  </w:r>
                                </w:p>
                              </w:tc>
                              <w:tc>
                                <w:tcPr>
                                  <w:tcW w:w="4042" w:type="dxa"/>
                                  <w:tcBorders>
                                    <w:top w:val="nil"/>
                                    <w:left w:val="nil"/>
                                    <w:bottom w:val="nil"/>
                                    <w:right w:val="nil"/>
                                  </w:tcBorders>
                                </w:tcPr>
                                <w:p>
                                  <w:pPr>
                                    <w:autoSpaceDE w:val="0"/>
                                    <w:autoSpaceDN w:val="0"/>
                                    <w:adjustRightInd w:val="0"/>
                                    <w:spacing w:line="336" w:lineRule="exact"/>
                                    <w:ind w:left="1522"/>
                                    <w:jc w:val="left"/>
                                    <w:rPr>
                                      <w:rFonts w:ascii="Times New Roman" w:hAnsi="Times New Roman" w:cs="Times New Roman"/>
                                      <w:kern w:val="0"/>
                                      <w:sz w:val="24"/>
                                      <w:szCs w:val="24"/>
                                    </w:rPr>
                                  </w:pPr>
                                  <w:r>
                                    <w:rPr>
                                      <w:rFonts w:hint="eastAsia" w:ascii="微软雅黑" w:hAnsi="Times New Roman" w:eastAsia="微软雅黑" w:cs="微软雅黑"/>
                                      <w:spacing w:val="-2"/>
                                      <w:kern w:val="0"/>
                                      <w:position w:val="-1"/>
                                      <w:szCs w:val="21"/>
                                    </w:rPr>
                                    <w:t>承</w:t>
                                  </w:r>
                                  <w:r>
                                    <w:rPr>
                                      <w:rFonts w:hint="eastAsia" w:ascii="微软雅黑" w:hAnsi="Times New Roman" w:eastAsia="微软雅黑" w:cs="微软雅黑"/>
                                      <w:kern w:val="0"/>
                                      <w:position w:val="-1"/>
                                      <w:szCs w:val="21"/>
                                    </w:rPr>
                                    <w:t>办</w:t>
                                  </w:r>
                                  <w:r>
                                    <w:rPr>
                                      <w:rFonts w:hint="eastAsia" w:ascii="微软雅黑" w:hAnsi="Times New Roman" w:eastAsia="微软雅黑" w:cs="微软雅黑"/>
                                      <w:spacing w:val="-2"/>
                                      <w:kern w:val="0"/>
                                      <w:position w:val="-1"/>
                                      <w:szCs w:val="21"/>
                                    </w:rPr>
                                    <w:t>人</w:t>
                                  </w:r>
                                  <w:r>
                                    <w:rPr>
                                      <w:rFonts w:hint="eastAsia" w:ascii="微软雅黑" w:hAnsi="Times New Roman" w:eastAsia="微软雅黑" w:cs="微软雅黑"/>
                                      <w:kern w:val="0"/>
                                      <w:position w:val="-1"/>
                                      <w:szCs w:val="21"/>
                                    </w:rPr>
                                    <w:t>：何耀</w:t>
                                  </w:r>
                                </w:p>
                              </w:tc>
                              <w:tc>
                                <w:tcPr>
                                  <w:tcW w:w="3554" w:type="dxa"/>
                                  <w:tcBorders>
                                    <w:top w:val="nil"/>
                                    <w:left w:val="nil"/>
                                    <w:bottom w:val="nil"/>
                                    <w:right w:val="nil"/>
                                  </w:tcBorders>
                                </w:tcPr>
                                <w:p>
                                  <w:pPr>
                                    <w:autoSpaceDE w:val="0"/>
                                    <w:autoSpaceDN w:val="0"/>
                                    <w:adjustRightInd w:val="0"/>
                                    <w:spacing w:line="336" w:lineRule="exact"/>
                                    <w:ind w:left="734"/>
                                    <w:jc w:val="left"/>
                                    <w:rPr>
                                      <w:rFonts w:ascii="Times New Roman" w:hAnsi="Times New Roman" w:cs="Times New Roman"/>
                                      <w:kern w:val="0"/>
                                      <w:sz w:val="24"/>
                                      <w:szCs w:val="24"/>
                                    </w:rPr>
                                  </w:pPr>
                                  <w:r>
                                    <w:rPr>
                                      <w:rFonts w:hint="eastAsia" w:ascii="微软雅黑" w:hAnsi="Times New Roman" w:eastAsia="微软雅黑" w:cs="微软雅黑"/>
                                      <w:kern w:val="0"/>
                                      <w:position w:val="-1"/>
                                      <w:szCs w:val="21"/>
                                    </w:rPr>
                                    <w:t>共</w:t>
                                  </w:r>
                                  <w:r>
                                    <w:rPr>
                                      <w:rFonts w:hint="eastAsia" w:ascii="微软雅黑" w:hAnsi="Times New Roman" w:eastAsia="微软雅黑" w:cs="微软雅黑"/>
                                      <w:spacing w:val="-12"/>
                                      <w:kern w:val="0"/>
                                      <w:position w:val="-1"/>
                                      <w:szCs w:val="21"/>
                                    </w:rPr>
                                    <w:t>4</w:t>
                                  </w:r>
                                  <w:r>
                                    <w:rPr>
                                      <w:rFonts w:hint="eastAsia" w:ascii="微软雅黑" w:hAnsi="Times New Roman" w:eastAsia="微软雅黑" w:cs="微软雅黑"/>
                                      <w:kern w:val="0"/>
                                      <w:position w:val="-1"/>
                                      <w:szCs w:val="21"/>
                                    </w:rPr>
                                    <w:t>页</w:t>
                                  </w:r>
                                  <w:r>
                                    <w:rPr>
                                      <w:rFonts w:ascii="微软雅黑" w:hAnsi="Times New Roman" w:eastAsia="微软雅黑" w:cs="微软雅黑"/>
                                      <w:spacing w:val="40"/>
                                      <w:kern w:val="0"/>
                                      <w:position w:val="-1"/>
                                      <w:szCs w:val="21"/>
                                    </w:rPr>
                                    <w:t xml:space="preserve"> </w:t>
                                  </w:r>
                                </w:p>
                              </w:tc>
                            </w:tr>
                            <w:tr>
                              <w:tblPrEx>
                                <w:tblCellMar>
                                  <w:top w:w="0" w:type="dxa"/>
                                  <w:left w:w="0" w:type="dxa"/>
                                  <w:bottom w:w="0" w:type="dxa"/>
                                  <w:right w:w="0" w:type="dxa"/>
                                </w:tblCellMar>
                              </w:tblPrEx>
                              <w:trPr>
                                <w:trHeight w:val="389" w:hRule="exact"/>
                                <w:jc w:val="center"/>
                              </w:trPr>
                              <w:tc>
                                <w:tcPr>
                                  <w:tcW w:w="6396" w:type="dxa"/>
                                  <w:tcBorders>
                                    <w:top w:val="nil"/>
                                    <w:left w:val="nil"/>
                                    <w:bottom w:val="nil"/>
                                    <w:right w:val="nil"/>
                                  </w:tcBorders>
                                </w:tcPr>
                                <w:p>
                                  <w:pPr>
                                    <w:autoSpaceDE w:val="0"/>
                                    <w:autoSpaceDN w:val="0"/>
                                    <w:adjustRightInd w:val="0"/>
                                    <w:spacing w:line="302" w:lineRule="exact"/>
                                    <w:ind w:left="40"/>
                                    <w:jc w:val="left"/>
                                    <w:rPr>
                                      <w:rFonts w:ascii="Times New Roman" w:hAnsi="Times New Roman" w:eastAsia="微软雅黑" w:cs="Times New Roman"/>
                                      <w:kern w:val="0"/>
                                      <w:sz w:val="24"/>
                                      <w:szCs w:val="24"/>
                                    </w:rPr>
                                  </w:pPr>
                                  <w:r>
                                    <w:rPr>
                                      <w:rFonts w:hint="eastAsia" w:ascii="微软雅黑" w:hAnsi="Times New Roman" w:eastAsia="微软雅黑" w:cs="微软雅黑"/>
                                      <w:kern w:val="0"/>
                                      <w:position w:val="-1"/>
                                      <w:szCs w:val="21"/>
                                    </w:rPr>
                                    <w:t>标准</w:t>
                                  </w:r>
                                  <w:r>
                                    <w:rPr>
                                      <w:rFonts w:hint="eastAsia" w:ascii="微软雅黑" w:hAnsi="Times New Roman" w:eastAsia="微软雅黑" w:cs="微软雅黑"/>
                                      <w:spacing w:val="-2"/>
                                      <w:kern w:val="0"/>
                                      <w:position w:val="-1"/>
                                      <w:szCs w:val="21"/>
                                    </w:rPr>
                                    <w:t>项</w:t>
                                  </w:r>
                                  <w:r>
                                    <w:rPr>
                                      <w:rFonts w:hint="eastAsia" w:ascii="微软雅黑" w:hAnsi="Times New Roman" w:eastAsia="微软雅黑" w:cs="微软雅黑"/>
                                      <w:kern w:val="0"/>
                                      <w:position w:val="-1"/>
                                      <w:szCs w:val="21"/>
                                    </w:rPr>
                                    <w:t>目</w:t>
                                  </w:r>
                                  <w:r>
                                    <w:rPr>
                                      <w:rFonts w:hint="eastAsia" w:ascii="微软雅黑" w:hAnsi="Times New Roman" w:eastAsia="微软雅黑" w:cs="微软雅黑"/>
                                      <w:spacing w:val="-2"/>
                                      <w:kern w:val="0"/>
                                      <w:position w:val="-1"/>
                                      <w:szCs w:val="21"/>
                                    </w:rPr>
                                    <w:t>负</w:t>
                                  </w:r>
                                  <w:r>
                                    <w:rPr>
                                      <w:rFonts w:hint="eastAsia" w:ascii="微软雅黑" w:hAnsi="Times New Roman" w:eastAsia="微软雅黑" w:cs="微软雅黑"/>
                                      <w:kern w:val="0"/>
                                      <w:position w:val="-1"/>
                                      <w:szCs w:val="21"/>
                                    </w:rPr>
                                    <w:t>责</w:t>
                                  </w:r>
                                  <w:r>
                                    <w:rPr>
                                      <w:rFonts w:hint="eastAsia" w:ascii="微软雅黑" w:hAnsi="Times New Roman" w:eastAsia="微软雅黑" w:cs="微软雅黑"/>
                                      <w:spacing w:val="-2"/>
                                      <w:kern w:val="0"/>
                                      <w:position w:val="-1"/>
                                      <w:szCs w:val="21"/>
                                    </w:rPr>
                                    <w:t>起</w:t>
                                  </w:r>
                                  <w:r>
                                    <w:rPr>
                                      <w:rFonts w:hint="eastAsia" w:ascii="微软雅黑" w:hAnsi="Times New Roman" w:eastAsia="微软雅黑" w:cs="微软雅黑"/>
                                      <w:kern w:val="0"/>
                                      <w:position w:val="-1"/>
                                      <w:szCs w:val="21"/>
                                    </w:rPr>
                                    <w:t>草</w:t>
                                  </w:r>
                                  <w:r>
                                    <w:rPr>
                                      <w:rFonts w:hint="eastAsia" w:ascii="微软雅黑" w:hAnsi="Times New Roman" w:eastAsia="微软雅黑" w:cs="微软雅黑"/>
                                      <w:spacing w:val="-2"/>
                                      <w:kern w:val="0"/>
                                      <w:position w:val="-1"/>
                                      <w:szCs w:val="21"/>
                                    </w:rPr>
                                    <w:t>单</w:t>
                                  </w:r>
                                  <w:r>
                                    <w:rPr>
                                      <w:rFonts w:hint="eastAsia" w:ascii="微软雅黑" w:hAnsi="Times New Roman" w:eastAsia="微软雅黑" w:cs="微软雅黑"/>
                                      <w:kern w:val="0"/>
                                      <w:position w:val="-1"/>
                                      <w:szCs w:val="21"/>
                                    </w:rPr>
                                    <w:t>位</w:t>
                                  </w:r>
                                  <w:r>
                                    <w:rPr>
                                      <w:rFonts w:hint="eastAsia" w:ascii="微软雅黑" w:hAnsi="Times New Roman" w:eastAsia="微软雅黑" w:cs="微软雅黑"/>
                                      <w:spacing w:val="-2"/>
                                      <w:kern w:val="0"/>
                                      <w:position w:val="-1"/>
                                      <w:szCs w:val="21"/>
                                    </w:rPr>
                                    <w:t>：</w:t>
                                  </w:r>
                                  <w:r>
                                    <w:rPr>
                                      <w:rFonts w:hint="eastAsia" w:ascii="微软雅黑" w:hAnsi="Times New Roman" w:eastAsia="微软雅黑" w:cs="微软雅黑"/>
                                      <w:kern w:val="0"/>
                                      <w:position w:val="-1"/>
                                      <w:szCs w:val="21"/>
                                    </w:rPr>
                                    <w:t>上海化工研究院有限公司</w:t>
                                  </w:r>
                                </w:p>
                              </w:tc>
                              <w:tc>
                                <w:tcPr>
                                  <w:tcW w:w="4042" w:type="dxa"/>
                                  <w:tcBorders>
                                    <w:top w:val="nil"/>
                                    <w:left w:val="nil"/>
                                    <w:bottom w:val="nil"/>
                                    <w:right w:val="nil"/>
                                  </w:tcBorders>
                                </w:tcPr>
                                <w:p>
                                  <w:pPr>
                                    <w:autoSpaceDE w:val="0"/>
                                    <w:autoSpaceDN w:val="0"/>
                                    <w:adjustRightInd w:val="0"/>
                                    <w:spacing w:line="302" w:lineRule="exact"/>
                                    <w:ind w:left="1524"/>
                                    <w:jc w:val="left"/>
                                    <w:rPr>
                                      <w:rFonts w:ascii="Times New Roman" w:hAnsi="Times New Roman" w:cs="Times New Roman"/>
                                      <w:kern w:val="0"/>
                                      <w:sz w:val="24"/>
                                      <w:szCs w:val="24"/>
                                    </w:rPr>
                                  </w:pPr>
                                  <w:r>
                                    <w:rPr>
                                      <w:rFonts w:hint="eastAsia" w:ascii="微软雅黑" w:hAnsi="Times New Roman" w:eastAsia="微软雅黑" w:cs="微软雅黑"/>
                                      <w:spacing w:val="-2"/>
                                      <w:kern w:val="0"/>
                                      <w:position w:val="-1"/>
                                      <w:szCs w:val="21"/>
                                    </w:rPr>
                                    <w:t>电</w:t>
                                  </w:r>
                                  <w:r>
                                    <w:rPr>
                                      <w:rFonts w:hint="eastAsia" w:ascii="微软雅黑" w:hAnsi="Times New Roman" w:eastAsia="微软雅黑" w:cs="微软雅黑"/>
                                      <w:kern w:val="0"/>
                                      <w:position w:val="-1"/>
                                      <w:szCs w:val="21"/>
                                    </w:rPr>
                                    <w:t>话</w:t>
                                  </w:r>
                                  <w:r>
                                    <w:rPr>
                                      <w:rFonts w:hint="eastAsia" w:ascii="微软雅黑" w:hAnsi="Times New Roman" w:eastAsia="微软雅黑" w:cs="微软雅黑"/>
                                      <w:spacing w:val="-2"/>
                                      <w:kern w:val="0"/>
                                      <w:position w:val="-1"/>
                                      <w:szCs w:val="21"/>
                                    </w:rPr>
                                    <w:t>：13661851971</w:t>
                                  </w:r>
                                </w:p>
                              </w:tc>
                              <w:tc>
                                <w:tcPr>
                                  <w:tcW w:w="3554" w:type="dxa"/>
                                  <w:tcBorders>
                                    <w:top w:val="nil"/>
                                    <w:left w:val="nil"/>
                                    <w:bottom w:val="nil"/>
                                    <w:right w:val="nil"/>
                                  </w:tcBorders>
                                </w:tcPr>
                                <w:p>
                                  <w:pPr>
                                    <w:autoSpaceDE w:val="0"/>
                                    <w:autoSpaceDN w:val="0"/>
                                    <w:adjustRightInd w:val="0"/>
                                    <w:spacing w:line="302" w:lineRule="exact"/>
                                    <w:ind w:left="737"/>
                                    <w:jc w:val="left"/>
                                    <w:rPr>
                                      <w:rFonts w:ascii="Times New Roman" w:hAnsi="Times New Roman" w:cs="Times New Roman"/>
                                      <w:kern w:val="0"/>
                                      <w:sz w:val="24"/>
                                      <w:szCs w:val="24"/>
                                    </w:rPr>
                                  </w:pPr>
                                  <w:r>
                                    <w:rPr>
                                      <w:rFonts w:hint="eastAsia" w:ascii="微软雅黑" w:hAnsi="Times New Roman" w:eastAsia="微软雅黑" w:cs="微软雅黑"/>
                                      <w:spacing w:val="-2"/>
                                      <w:kern w:val="0"/>
                                      <w:position w:val="-1"/>
                                      <w:szCs w:val="21"/>
                                    </w:rPr>
                                    <w:t>填</w:t>
                                  </w:r>
                                  <w:r>
                                    <w:rPr>
                                      <w:rFonts w:hint="eastAsia" w:ascii="微软雅黑" w:hAnsi="Times New Roman" w:eastAsia="微软雅黑" w:cs="微软雅黑"/>
                                      <w:kern w:val="0"/>
                                      <w:position w:val="-1"/>
                                      <w:szCs w:val="21"/>
                                    </w:rPr>
                                    <w:t>写</w:t>
                                  </w:r>
                                  <w:r>
                                    <w:rPr>
                                      <w:rFonts w:hint="eastAsia" w:ascii="微软雅黑" w:hAnsi="Times New Roman" w:eastAsia="微软雅黑" w:cs="微软雅黑"/>
                                      <w:spacing w:val="-2"/>
                                      <w:kern w:val="0"/>
                                      <w:position w:val="-1"/>
                                      <w:szCs w:val="21"/>
                                    </w:rPr>
                                    <w:t>日</w:t>
                                  </w:r>
                                  <w:r>
                                    <w:rPr>
                                      <w:rFonts w:hint="eastAsia" w:ascii="微软雅黑" w:hAnsi="Times New Roman" w:eastAsia="微软雅黑" w:cs="微软雅黑"/>
                                      <w:kern w:val="0"/>
                                      <w:position w:val="-1"/>
                                      <w:szCs w:val="21"/>
                                    </w:rPr>
                                    <w:t>期：</w:t>
                                  </w:r>
                                  <w:r>
                                    <w:rPr>
                                      <w:rFonts w:ascii="Times New Roman" w:hAnsi="Times New Roman" w:eastAsia="微软雅黑" w:cs="Times New Roman"/>
                                      <w:kern w:val="0"/>
                                      <w:position w:val="-1"/>
                                      <w:szCs w:val="21"/>
                                    </w:rPr>
                                    <w:t>2</w:t>
                                  </w:r>
                                  <w:r>
                                    <w:rPr>
                                      <w:rFonts w:ascii="Times New Roman" w:hAnsi="Times New Roman" w:eastAsia="微软雅黑" w:cs="Times New Roman"/>
                                      <w:spacing w:val="-2"/>
                                      <w:kern w:val="0"/>
                                      <w:position w:val="-1"/>
                                      <w:szCs w:val="21"/>
                                    </w:rPr>
                                    <w:t>0</w:t>
                                  </w:r>
                                  <w:r>
                                    <w:rPr>
                                      <w:rFonts w:ascii="Times New Roman" w:hAnsi="Times New Roman" w:eastAsia="微软雅黑" w:cs="Times New Roman"/>
                                      <w:kern w:val="0"/>
                                      <w:position w:val="-1"/>
                                      <w:szCs w:val="21"/>
                                    </w:rPr>
                                    <w:t>2</w:t>
                                  </w:r>
                                  <w:r>
                                    <w:rPr>
                                      <w:rFonts w:hint="eastAsia" w:ascii="Times New Roman" w:hAnsi="Times New Roman" w:eastAsia="微软雅黑" w:cs="Times New Roman"/>
                                      <w:kern w:val="0"/>
                                      <w:position w:val="-1"/>
                                      <w:szCs w:val="21"/>
                                    </w:rPr>
                                    <w:t>2</w:t>
                                  </w:r>
                                  <w:r>
                                    <w:rPr>
                                      <w:rFonts w:hint="eastAsia" w:ascii="微软雅黑" w:hAnsi="Times New Roman" w:eastAsia="微软雅黑" w:cs="微软雅黑"/>
                                      <w:kern w:val="0"/>
                                      <w:position w:val="-1"/>
                                      <w:szCs w:val="21"/>
                                    </w:rPr>
                                    <w:t>年</w:t>
                                  </w:r>
                                  <w:r>
                                    <w:rPr>
                                      <w:rFonts w:hint="eastAsia" w:ascii="Times New Roman" w:hAnsi="Times New Roman" w:eastAsia="微软雅黑" w:cs="Times New Roman"/>
                                      <w:spacing w:val="-10"/>
                                      <w:kern w:val="0"/>
                                      <w:position w:val="-1"/>
                                      <w:szCs w:val="21"/>
                                    </w:rPr>
                                    <w:t>03</w:t>
                                  </w:r>
                                  <w:r>
                                    <w:rPr>
                                      <w:rFonts w:hint="eastAsia" w:ascii="微软雅黑" w:hAnsi="Times New Roman" w:eastAsia="微软雅黑" w:cs="微软雅黑"/>
                                      <w:kern w:val="0"/>
                                      <w:position w:val="-1"/>
                                      <w:szCs w:val="21"/>
                                    </w:rPr>
                                    <w:t>月</w:t>
                                  </w:r>
                                  <w:r>
                                    <w:rPr>
                                      <w:rFonts w:ascii="Times New Roman" w:hAnsi="Times New Roman" w:eastAsia="微软雅黑" w:cs="Times New Roman"/>
                                      <w:spacing w:val="-2"/>
                                      <w:kern w:val="0"/>
                                      <w:position w:val="-1"/>
                                      <w:szCs w:val="21"/>
                                    </w:rPr>
                                    <w:t>1</w:t>
                                  </w:r>
                                  <w:r>
                                    <w:rPr>
                                      <w:rFonts w:hint="eastAsia" w:ascii="Times New Roman" w:hAnsi="Times New Roman" w:eastAsia="微软雅黑" w:cs="Times New Roman"/>
                                      <w:kern w:val="0"/>
                                      <w:position w:val="-1"/>
                                      <w:szCs w:val="21"/>
                                      <w:lang w:val="en-US" w:eastAsia="zh-CN"/>
                                    </w:rPr>
                                    <w:t>4</w:t>
                                  </w:r>
                                  <w:r>
                                    <w:rPr>
                                      <w:rFonts w:hint="eastAsia" w:ascii="微软雅黑" w:hAnsi="Times New Roman" w:eastAsia="微软雅黑" w:cs="微软雅黑"/>
                                      <w:kern w:val="0"/>
                                      <w:position w:val="-1"/>
                                      <w:szCs w:val="21"/>
                                    </w:rPr>
                                    <w:t>日</w:t>
                                  </w:r>
                                </w:p>
                              </w:tc>
                            </w:tr>
                          </w:tbl>
                          <w:p>
                            <w:pPr>
                              <w:autoSpaceDE w:val="0"/>
                              <w:autoSpaceDN w:val="0"/>
                              <w:adjustRightInd w:val="0"/>
                              <w:jc w:val="left"/>
                              <w:rPr>
                                <w:rFonts w:ascii="Times New Roman" w:hAnsi="Times New Roman" w:cs="Times New Roman"/>
                                <w:kern w:val="0"/>
                                <w:sz w:val="24"/>
                                <w:szCs w:val="24"/>
                              </w:rPr>
                            </w:pPr>
                          </w:p>
                        </w:txbxContent>
                      </wps:txbx>
                      <wps:bodyPr lIns="0" tIns="0" rIns="0" bIns="0" upright="1"/>
                    </wps:wsp>
                  </a:graphicData>
                </a:graphic>
              </wp:anchor>
            </w:drawing>
          </mc:Choice>
          <mc:Fallback>
            <w:pict>
              <v:shape id="文本框 34" o:spid="_x0000_s1026" o:spt="202" type="#_x0000_t202" style="position:absolute;left:0pt;margin-left:70pt;margin-top:72.3pt;height:38.3pt;width:699.6pt;mso-position-horizontal-relative:page;z-index:-251656192;mso-width-relative:page;mso-height-relative:page;" filled="f" stroked="f" coordsize="21600,21600" o:allowincell="f" o:gfxdata="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w8pgb2QAAAAwBAAAPAAAAAAAAAAEAIAAAACIAAABkcnMvZG93bnJldi54bWxQ&#10;SwECFAAUAAAACACHTuJAS4oK7r0BAAB0AwAADgAAAAAAAAABACAAAAAoAQAAZHJzL2Uyb0RvYy54&#10;bWxQSwUGAAAAAAYABgBZAQAAVwUAAAAA&#10;">
                <v:fill on="f" focussize="0,0"/>
                <v:stroke on="f"/>
                <v:imagedata o:title=""/>
                <o:lock v:ext="edit" aspectratio="f"/>
                <v:textbox inset="0mm,0mm,0mm,0mm">
                  <w:txbxContent>
                    <w:tbl>
                      <w:tblPr>
                        <w:tblStyle w:val="4"/>
                        <w:tblW w:w="0" w:type="auto"/>
                        <w:jc w:val="center"/>
                        <w:tblLayout w:type="fixed"/>
                        <w:tblCellMar>
                          <w:top w:w="0" w:type="dxa"/>
                          <w:left w:w="0" w:type="dxa"/>
                          <w:bottom w:w="0" w:type="dxa"/>
                          <w:right w:w="0" w:type="dxa"/>
                        </w:tblCellMar>
                      </w:tblPr>
                      <w:tblGrid>
                        <w:gridCol w:w="6396"/>
                        <w:gridCol w:w="4042"/>
                        <w:gridCol w:w="3554"/>
                      </w:tblGrid>
                      <w:tr>
                        <w:tblPrEx>
                          <w:tblCellMar>
                            <w:top w:w="0" w:type="dxa"/>
                            <w:left w:w="0" w:type="dxa"/>
                            <w:bottom w:w="0" w:type="dxa"/>
                            <w:right w:w="0" w:type="dxa"/>
                          </w:tblCellMar>
                        </w:tblPrEx>
                        <w:trPr>
                          <w:trHeight w:val="377" w:hRule="exact"/>
                          <w:jc w:val="center"/>
                        </w:trPr>
                        <w:tc>
                          <w:tcPr>
                            <w:tcW w:w="6396" w:type="dxa"/>
                            <w:tcBorders>
                              <w:top w:val="nil"/>
                              <w:left w:val="nil"/>
                              <w:bottom w:val="nil"/>
                              <w:right w:val="nil"/>
                            </w:tcBorders>
                          </w:tcPr>
                          <w:p>
                            <w:pPr>
                              <w:tabs>
                                <w:tab w:val="left" w:pos="4240"/>
                              </w:tabs>
                              <w:autoSpaceDE w:val="0"/>
                              <w:autoSpaceDN w:val="0"/>
                              <w:adjustRightInd w:val="0"/>
                              <w:spacing w:line="336" w:lineRule="exact"/>
                              <w:ind w:left="40"/>
                              <w:jc w:val="left"/>
                              <w:rPr>
                                <w:rFonts w:ascii="Times New Roman" w:hAnsi="Times New Roman" w:cs="Times New Roman"/>
                                <w:kern w:val="0"/>
                                <w:sz w:val="24"/>
                                <w:szCs w:val="24"/>
                              </w:rPr>
                            </w:pPr>
                            <w:r>
                              <w:rPr>
                                <w:rFonts w:hint="eastAsia" w:ascii="微软雅黑" w:hAnsi="Times New Roman" w:eastAsia="微软雅黑" w:cs="微软雅黑"/>
                                <w:kern w:val="0"/>
                                <w:position w:val="-1"/>
                                <w:szCs w:val="21"/>
                              </w:rPr>
                              <w:t>标准</w:t>
                            </w:r>
                            <w:r>
                              <w:rPr>
                                <w:rFonts w:hint="eastAsia" w:ascii="微软雅黑" w:hAnsi="Times New Roman" w:eastAsia="微软雅黑" w:cs="微软雅黑"/>
                                <w:spacing w:val="-2"/>
                                <w:kern w:val="0"/>
                                <w:position w:val="-1"/>
                                <w:szCs w:val="21"/>
                              </w:rPr>
                              <w:t>项</w:t>
                            </w:r>
                            <w:r>
                              <w:rPr>
                                <w:rFonts w:hint="eastAsia" w:ascii="微软雅黑" w:hAnsi="Times New Roman" w:eastAsia="微软雅黑" w:cs="微软雅黑"/>
                                <w:kern w:val="0"/>
                                <w:position w:val="-1"/>
                                <w:szCs w:val="21"/>
                              </w:rPr>
                              <w:t>目</w:t>
                            </w:r>
                            <w:r>
                              <w:rPr>
                                <w:rFonts w:hint="eastAsia" w:ascii="微软雅黑" w:hAnsi="Times New Roman" w:eastAsia="微软雅黑" w:cs="微软雅黑"/>
                                <w:spacing w:val="-2"/>
                                <w:kern w:val="0"/>
                                <w:position w:val="-1"/>
                                <w:szCs w:val="21"/>
                              </w:rPr>
                              <w:t>名</w:t>
                            </w:r>
                            <w:r>
                              <w:rPr>
                                <w:rFonts w:hint="eastAsia" w:ascii="微软雅黑" w:hAnsi="Times New Roman" w:eastAsia="微软雅黑" w:cs="微软雅黑"/>
                                <w:kern w:val="0"/>
                                <w:position w:val="-1"/>
                                <w:szCs w:val="21"/>
                              </w:rPr>
                              <w:t>称</w:t>
                            </w:r>
                            <w:r>
                              <w:rPr>
                                <w:rFonts w:hint="eastAsia" w:ascii="微软雅黑" w:hAnsi="Times New Roman" w:eastAsia="微软雅黑" w:cs="微软雅黑"/>
                                <w:spacing w:val="-2"/>
                                <w:kern w:val="0"/>
                                <w:position w:val="-1"/>
                                <w:szCs w:val="21"/>
                              </w:rPr>
                              <w:t>：</w:t>
                            </w:r>
                            <w:r>
                              <w:rPr>
                                <w:rFonts w:hint="eastAsia" w:ascii="微软雅黑" w:hAnsi="Times New Roman" w:eastAsia="微软雅黑" w:cs="微软雅黑"/>
                                <w:kern w:val="0"/>
                                <w:position w:val="-1"/>
                                <w:szCs w:val="21"/>
                              </w:rPr>
                              <w:t>复合肥料行业</w:t>
                            </w:r>
                            <w:r>
                              <w:rPr>
                                <w:rFonts w:hint="eastAsia" w:ascii="微软雅黑" w:hAnsi="Times New Roman" w:eastAsia="微软雅黑" w:cs="微软雅黑"/>
                                <w:spacing w:val="-2"/>
                                <w:kern w:val="0"/>
                                <w:position w:val="-1"/>
                                <w:szCs w:val="21"/>
                              </w:rPr>
                              <w:t>绿</w:t>
                            </w:r>
                            <w:r>
                              <w:rPr>
                                <w:rFonts w:hint="eastAsia" w:ascii="微软雅黑" w:hAnsi="Times New Roman" w:eastAsia="微软雅黑" w:cs="微软雅黑"/>
                                <w:kern w:val="0"/>
                                <w:position w:val="-1"/>
                                <w:szCs w:val="21"/>
                              </w:rPr>
                              <w:t>色</w:t>
                            </w:r>
                            <w:r>
                              <w:rPr>
                                <w:rFonts w:hint="eastAsia" w:ascii="微软雅黑" w:hAnsi="Times New Roman" w:eastAsia="微软雅黑" w:cs="微软雅黑"/>
                                <w:spacing w:val="-2"/>
                                <w:kern w:val="0"/>
                                <w:position w:val="-1"/>
                                <w:szCs w:val="21"/>
                              </w:rPr>
                              <w:t>工</w:t>
                            </w:r>
                            <w:r>
                              <w:rPr>
                                <w:rFonts w:hint="eastAsia" w:ascii="微软雅黑" w:hAnsi="Times New Roman" w:eastAsia="微软雅黑" w:cs="微软雅黑"/>
                                <w:kern w:val="0"/>
                                <w:position w:val="-1"/>
                                <w:szCs w:val="21"/>
                              </w:rPr>
                              <w:t>厂</w:t>
                            </w:r>
                            <w:r>
                              <w:rPr>
                                <w:rFonts w:hint="eastAsia" w:ascii="微软雅黑" w:hAnsi="Times New Roman" w:eastAsia="微软雅黑" w:cs="微软雅黑"/>
                                <w:spacing w:val="-2"/>
                                <w:kern w:val="0"/>
                                <w:position w:val="-1"/>
                                <w:szCs w:val="21"/>
                              </w:rPr>
                              <w:t>评</w:t>
                            </w:r>
                            <w:r>
                              <w:rPr>
                                <w:rFonts w:hint="eastAsia" w:ascii="微软雅黑" w:hAnsi="Times New Roman" w:eastAsia="微软雅黑" w:cs="微软雅黑"/>
                                <w:kern w:val="0"/>
                                <w:position w:val="-1"/>
                                <w:szCs w:val="21"/>
                              </w:rPr>
                              <w:t>价</w:t>
                            </w:r>
                            <w:r>
                              <w:rPr>
                                <w:rFonts w:hint="eastAsia" w:ascii="微软雅黑" w:hAnsi="Times New Roman" w:eastAsia="微软雅黑" w:cs="微软雅黑"/>
                                <w:spacing w:val="1"/>
                                <w:kern w:val="0"/>
                                <w:position w:val="-1"/>
                                <w:szCs w:val="21"/>
                              </w:rPr>
                              <w:t>要</w:t>
                            </w:r>
                            <w:r>
                              <w:rPr>
                                <w:rFonts w:hint="eastAsia" w:ascii="微软雅黑" w:hAnsi="Times New Roman" w:eastAsia="微软雅黑" w:cs="微软雅黑"/>
                                <w:kern w:val="0"/>
                                <w:position w:val="-1"/>
                                <w:szCs w:val="21"/>
                              </w:rPr>
                              <w:t>求</w:t>
                            </w:r>
                          </w:p>
                        </w:tc>
                        <w:tc>
                          <w:tcPr>
                            <w:tcW w:w="4042" w:type="dxa"/>
                            <w:tcBorders>
                              <w:top w:val="nil"/>
                              <w:left w:val="nil"/>
                              <w:bottom w:val="nil"/>
                              <w:right w:val="nil"/>
                            </w:tcBorders>
                          </w:tcPr>
                          <w:p>
                            <w:pPr>
                              <w:autoSpaceDE w:val="0"/>
                              <w:autoSpaceDN w:val="0"/>
                              <w:adjustRightInd w:val="0"/>
                              <w:spacing w:line="336" w:lineRule="exact"/>
                              <w:ind w:left="1522"/>
                              <w:jc w:val="left"/>
                              <w:rPr>
                                <w:rFonts w:ascii="Times New Roman" w:hAnsi="Times New Roman" w:cs="Times New Roman"/>
                                <w:kern w:val="0"/>
                                <w:sz w:val="24"/>
                                <w:szCs w:val="24"/>
                              </w:rPr>
                            </w:pPr>
                            <w:r>
                              <w:rPr>
                                <w:rFonts w:hint="eastAsia" w:ascii="微软雅黑" w:hAnsi="Times New Roman" w:eastAsia="微软雅黑" w:cs="微软雅黑"/>
                                <w:spacing w:val="-2"/>
                                <w:kern w:val="0"/>
                                <w:position w:val="-1"/>
                                <w:szCs w:val="21"/>
                              </w:rPr>
                              <w:t>承</w:t>
                            </w:r>
                            <w:r>
                              <w:rPr>
                                <w:rFonts w:hint="eastAsia" w:ascii="微软雅黑" w:hAnsi="Times New Roman" w:eastAsia="微软雅黑" w:cs="微软雅黑"/>
                                <w:kern w:val="0"/>
                                <w:position w:val="-1"/>
                                <w:szCs w:val="21"/>
                              </w:rPr>
                              <w:t>办</w:t>
                            </w:r>
                            <w:r>
                              <w:rPr>
                                <w:rFonts w:hint="eastAsia" w:ascii="微软雅黑" w:hAnsi="Times New Roman" w:eastAsia="微软雅黑" w:cs="微软雅黑"/>
                                <w:spacing w:val="-2"/>
                                <w:kern w:val="0"/>
                                <w:position w:val="-1"/>
                                <w:szCs w:val="21"/>
                              </w:rPr>
                              <w:t>人</w:t>
                            </w:r>
                            <w:r>
                              <w:rPr>
                                <w:rFonts w:hint="eastAsia" w:ascii="微软雅黑" w:hAnsi="Times New Roman" w:eastAsia="微软雅黑" w:cs="微软雅黑"/>
                                <w:kern w:val="0"/>
                                <w:position w:val="-1"/>
                                <w:szCs w:val="21"/>
                              </w:rPr>
                              <w:t>：何耀</w:t>
                            </w:r>
                          </w:p>
                        </w:tc>
                        <w:tc>
                          <w:tcPr>
                            <w:tcW w:w="3554" w:type="dxa"/>
                            <w:tcBorders>
                              <w:top w:val="nil"/>
                              <w:left w:val="nil"/>
                              <w:bottom w:val="nil"/>
                              <w:right w:val="nil"/>
                            </w:tcBorders>
                          </w:tcPr>
                          <w:p>
                            <w:pPr>
                              <w:autoSpaceDE w:val="0"/>
                              <w:autoSpaceDN w:val="0"/>
                              <w:adjustRightInd w:val="0"/>
                              <w:spacing w:line="336" w:lineRule="exact"/>
                              <w:ind w:left="734"/>
                              <w:jc w:val="left"/>
                              <w:rPr>
                                <w:rFonts w:ascii="Times New Roman" w:hAnsi="Times New Roman" w:cs="Times New Roman"/>
                                <w:kern w:val="0"/>
                                <w:sz w:val="24"/>
                                <w:szCs w:val="24"/>
                              </w:rPr>
                            </w:pPr>
                            <w:r>
                              <w:rPr>
                                <w:rFonts w:hint="eastAsia" w:ascii="微软雅黑" w:hAnsi="Times New Roman" w:eastAsia="微软雅黑" w:cs="微软雅黑"/>
                                <w:kern w:val="0"/>
                                <w:position w:val="-1"/>
                                <w:szCs w:val="21"/>
                              </w:rPr>
                              <w:t>共</w:t>
                            </w:r>
                            <w:r>
                              <w:rPr>
                                <w:rFonts w:hint="eastAsia" w:ascii="微软雅黑" w:hAnsi="Times New Roman" w:eastAsia="微软雅黑" w:cs="微软雅黑"/>
                                <w:spacing w:val="-12"/>
                                <w:kern w:val="0"/>
                                <w:position w:val="-1"/>
                                <w:szCs w:val="21"/>
                              </w:rPr>
                              <w:t>4</w:t>
                            </w:r>
                            <w:r>
                              <w:rPr>
                                <w:rFonts w:hint="eastAsia" w:ascii="微软雅黑" w:hAnsi="Times New Roman" w:eastAsia="微软雅黑" w:cs="微软雅黑"/>
                                <w:kern w:val="0"/>
                                <w:position w:val="-1"/>
                                <w:szCs w:val="21"/>
                              </w:rPr>
                              <w:t>页</w:t>
                            </w:r>
                            <w:r>
                              <w:rPr>
                                <w:rFonts w:ascii="微软雅黑" w:hAnsi="Times New Roman" w:eastAsia="微软雅黑" w:cs="微软雅黑"/>
                                <w:spacing w:val="40"/>
                                <w:kern w:val="0"/>
                                <w:position w:val="-1"/>
                                <w:szCs w:val="21"/>
                              </w:rPr>
                              <w:t xml:space="preserve"> </w:t>
                            </w:r>
                          </w:p>
                        </w:tc>
                      </w:tr>
                      <w:tr>
                        <w:tblPrEx>
                          <w:tblCellMar>
                            <w:top w:w="0" w:type="dxa"/>
                            <w:left w:w="0" w:type="dxa"/>
                            <w:bottom w:w="0" w:type="dxa"/>
                            <w:right w:w="0" w:type="dxa"/>
                          </w:tblCellMar>
                        </w:tblPrEx>
                        <w:trPr>
                          <w:trHeight w:val="389" w:hRule="exact"/>
                          <w:jc w:val="center"/>
                        </w:trPr>
                        <w:tc>
                          <w:tcPr>
                            <w:tcW w:w="6396" w:type="dxa"/>
                            <w:tcBorders>
                              <w:top w:val="nil"/>
                              <w:left w:val="nil"/>
                              <w:bottom w:val="nil"/>
                              <w:right w:val="nil"/>
                            </w:tcBorders>
                          </w:tcPr>
                          <w:p>
                            <w:pPr>
                              <w:autoSpaceDE w:val="0"/>
                              <w:autoSpaceDN w:val="0"/>
                              <w:adjustRightInd w:val="0"/>
                              <w:spacing w:line="302" w:lineRule="exact"/>
                              <w:ind w:left="40"/>
                              <w:jc w:val="left"/>
                              <w:rPr>
                                <w:rFonts w:ascii="Times New Roman" w:hAnsi="Times New Roman" w:eastAsia="微软雅黑" w:cs="Times New Roman"/>
                                <w:kern w:val="0"/>
                                <w:sz w:val="24"/>
                                <w:szCs w:val="24"/>
                              </w:rPr>
                            </w:pPr>
                            <w:r>
                              <w:rPr>
                                <w:rFonts w:hint="eastAsia" w:ascii="微软雅黑" w:hAnsi="Times New Roman" w:eastAsia="微软雅黑" w:cs="微软雅黑"/>
                                <w:kern w:val="0"/>
                                <w:position w:val="-1"/>
                                <w:szCs w:val="21"/>
                              </w:rPr>
                              <w:t>标准</w:t>
                            </w:r>
                            <w:r>
                              <w:rPr>
                                <w:rFonts w:hint="eastAsia" w:ascii="微软雅黑" w:hAnsi="Times New Roman" w:eastAsia="微软雅黑" w:cs="微软雅黑"/>
                                <w:spacing w:val="-2"/>
                                <w:kern w:val="0"/>
                                <w:position w:val="-1"/>
                                <w:szCs w:val="21"/>
                              </w:rPr>
                              <w:t>项</w:t>
                            </w:r>
                            <w:r>
                              <w:rPr>
                                <w:rFonts w:hint="eastAsia" w:ascii="微软雅黑" w:hAnsi="Times New Roman" w:eastAsia="微软雅黑" w:cs="微软雅黑"/>
                                <w:kern w:val="0"/>
                                <w:position w:val="-1"/>
                                <w:szCs w:val="21"/>
                              </w:rPr>
                              <w:t>目</w:t>
                            </w:r>
                            <w:r>
                              <w:rPr>
                                <w:rFonts w:hint="eastAsia" w:ascii="微软雅黑" w:hAnsi="Times New Roman" w:eastAsia="微软雅黑" w:cs="微软雅黑"/>
                                <w:spacing w:val="-2"/>
                                <w:kern w:val="0"/>
                                <w:position w:val="-1"/>
                                <w:szCs w:val="21"/>
                              </w:rPr>
                              <w:t>负</w:t>
                            </w:r>
                            <w:r>
                              <w:rPr>
                                <w:rFonts w:hint="eastAsia" w:ascii="微软雅黑" w:hAnsi="Times New Roman" w:eastAsia="微软雅黑" w:cs="微软雅黑"/>
                                <w:kern w:val="0"/>
                                <w:position w:val="-1"/>
                                <w:szCs w:val="21"/>
                              </w:rPr>
                              <w:t>责</w:t>
                            </w:r>
                            <w:r>
                              <w:rPr>
                                <w:rFonts w:hint="eastAsia" w:ascii="微软雅黑" w:hAnsi="Times New Roman" w:eastAsia="微软雅黑" w:cs="微软雅黑"/>
                                <w:spacing w:val="-2"/>
                                <w:kern w:val="0"/>
                                <w:position w:val="-1"/>
                                <w:szCs w:val="21"/>
                              </w:rPr>
                              <w:t>起</w:t>
                            </w:r>
                            <w:r>
                              <w:rPr>
                                <w:rFonts w:hint="eastAsia" w:ascii="微软雅黑" w:hAnsi="Times New Roman" w:eastAsia="微软雅黑" w:cs="微软雅黑"/>
                                <w:kern w:val="0"/>
                                <w:position w:val="-1"/>
                                <w:szCs w:val="21"/>
                              </w:rPr>
                              <w:t>草</w:t>
                            </w:r>
                            <w:r>
                              <w:rPr>
                                <w:rFonts w:hint="eastAsia" w:ascii="微软雅黑" w:hAnsi="Times New Roman" w:eastAsia="微软雅黑" w:cs="微软雅黑"/>
                                <w:spacing w:val="-2"/>
                                <w:kern w:val="0"/>
                                <w:position w:val="-1"/>
                                <w:szCs w:val="21"/>
                              </w:rPr>
                              <w:t>单</w:t>
                            </w:r>
                            <w:r>
                              <w:rPr>
                                <w:rFonts w:hint="eastAsia" w:ascii="微软雅黑" w:hAnsi="Times New Roman" w:eastAsia="微软雅黑" w:cs="微软雅黑"/>
                                <w:kern w:val="0"/>
                                <w:position w:val="-1"/>
                                <w:szCs w:val="21"/>
                              </w:rPr>
                              <w:t>位</w:t>
                            </w:r>
                            <w:r>
                              <w:rPr>
                                <w:rFonts w:hint="eastAsia" w:ascii="微软雅黑" w:hAnsi="Times New Roman" w:eastAsia="微软雅黑" w:cs="微软雅黑"/>
                                <w:spacing w:val="-2"/>
                                <w:kern w:val="0"/>
                                <w:position w:val="-1"/>
                                <w:szCs w:val="21"/>
                              </w:rPr>
                              <w:t>：</w:t>
                            </w:r>
                            <w:r>
                              <w:rPr>
                                <w:rFonts w:hint="eastAsia" w:ascii="微软雅黑" w:hAnsi="Times New Roman" w:eastAsia="微软雅黑" w:cs="微软雅黑"/>
                                <w:kern w:val="0"/>
                                <w:position w:val="-1"/>
                                <w:szCs w:val="21"/>
                              </w:rPr>
                              <w:t>上海化工研究院有限公司</w:t>
                            </w:r>
                          </w:p>
                        </w:tc>
                        <w:tc>
                          <w:tcPr>
                            <w:tcW w:w="4042" w:type="dxa"/>
                            <w:tcBorders>
                              <w:top w:val="nil"/>
                              <w:left w:val="nil"/>
                              <w:bottom w:val="nil"/>
                              <w:right w:val="nil"/>
                            </w:tcBorders>
                          </w:tcPr>
                          <w:p>
                            <w:pPr>
                              <w:autoSpaceDE w:val="0"/>
                              <w:autoSpaceDN w:val="0"/>
                              <w:adjustRightInd w:val="0"/>
                              <w:spacing w:line="302" w:lineRule="exact"/>
                              <w:ind w:left="1524"/>
                              <w:jc w:val="left"/>
                              <w:rPr>
                                <w:rFonts w:ascii="Times New Roman" w:hAnsi="Times New Roman" w:cs="Times New Roman"/>
                                <w:kern w:val="0"/>
                                <w:sz w:val="24"/>
                                <w:szCs w:val="24"/>
                              </w:rPr>
                            </w:pPr>
                            <w:r>
                              <w:rPr>
                                <w:rFonts w:hint="eastAsia" w:ascii="微软雅黑" w:hAnsi="Times New Roman" w:eastAsia="微软雅黑" w:cs="微软雅黑"/>
                                <w:spacing w:val="-2"/>
                                <w:kern w:val="0"/>
                                <w:position w:val="-1"/>
                                <w:szCs w:val="21"/>
                              </w:rPr>
                              <w:t>电</w:t>
                            </w:r>
                            <w:r>
                              <w:rPr>
                                <w:rFonts w:hint="eastAsia" w:ascii="微软雅黑" w:hAnsi="Times New Roman" w:eastAsia="微软雅黑" w:cs="微软雅黑"/>
                                <w:kern w:val="0"/>
                                <w:position w:val="-1"/>
                                <w:szCs w:val="21"/>
                              </w:rPr>
                              <w:t>话</w:t>
                            </w:r>
                            <w:r>
                              <w:rPr>
                                <w:rFonts w:hint="eastAsia" w:ascii="微软雅黑" w:hAnsi="Times New Roman" w:eastAsia="微软雅黑" w:cs="微软雅黑"/>
                                <w:spacing w:val="-2"/>
                                <w:kern w:val="0"/>
                                <w:position w:val="-1"/>
                                <w:szCs w:val="21"/>
                              </w:rPr>
                              <w:t>：13661851971</w:t>
                            </w:r>
                          </w:p>
                        </w:tc>
                        <w:tc>
                          <w:tcPr>
                            <w:tcW w:w="3554" w:type="dxa"/>
                            <w:tcBorders>
                              <w:top w:val="nil"/>
                              <w:left w:val="nil"/>
                              <w:bottom w:val="nil"/>
                              <w:right w:val="nil"/>
                            </w:tcBorders>
                          </w:tcPr>
                          <w:p>
                            <w:pPr>
                              <w:autoSpaceDE w:val="0"/>
                              <w:autoSpaceDN w:val="0"/>
                              <w:adjustRightInd w:val="0"/>
                              <w:spacing w:line="302" w:lineRule="exact"/>
                              <w:ind w:left="737"/>
                              <w:jc w:val="left"/>
                              <w:rPr>
                                <w:rFonts w:ascii="Times New Roman" w:hAnsi="Times New Roman" w:cs="Times New Roman"/>
                                <w:kern w:val="0"/>
                                <w:sz w:val="24"/>
                                <w:szCs w:val="24"/>
                              </w:rPr>
                            </w:pPr>
                            <w:r>
                              <w:rPr>
                                <w:rFonts w:hint="eastAsia" w:ascii="微软雅黑" w:hAnsi="Times New Roman" w:eastAsia="微软雅黑" w:cs="微软雅黑"/>
                                <w:spacing w:val="-2"/>
                                <w:kern w:val="0"/>
                                <w:position w:val="-1"/>
                                <w:szCs w:val="21"/>
                              </w:rPr>
                              <w:t>填</w:t>
                            </w:r>
                            <w:r>
                              <w:rPr>
                                <w:rFonts w:hint="eastAsia" w:ascii="微软雅黑" w:hAnsi="Times New Roman" w:eastAsia="微软雅黑" w:cs="微软雅黑"/>
                                <w:kern w:val="0"/>
                                <w:position w:val="-1"/>
                                <w:szCs w:val="21"/>
                              </w:rPr>
                              <w:t>写</w:t>
                            </w:r>
                            <w:r>
                              <w:rPr>
                                <w:rFonts w:hint="eastAsia" w:ascii="微软雅黑" w:hAnsi="Times New Roman" w:eastAsia="微软雅黑" w:cs="微软雅黑"/>
                                <w:spacing w:val="-2"/>
                                <w:kern w:val="0"/>
                                <w:position w:val="-1"/>
                                <w:szCs w:val="21"/>
                              </w:rPr>
                              <w:t>日</w:t>
                            </w:r>
                            <w:r>
                              <w:rPr>
                                <w:rFonts w:hint="eastAsia" w:ascii="微软雅黑" w:hAnsi="Times New Roman" w:eastAsia="微软雅黑" w:cs="微软雅黑"/>
                                <w:kern w:val="0"/>
                                <w:position w:val="-1"/>
                                <w:szCs w:val="21"/>
                              </w:rPr>
                              <w:t>期：</w:t>
                            </w:r>
                            <w:r>
                              <w:rPr>
                                <w:rFonts w:ascii="Times New Roman" w:hAnsi="Times New Roman" w:eastAsia="微软雅黑" w:cs="Times New Roman"/>
                                <w:kern w:val="0"/>
                                <w:position w:val="-1"/>
                                <w:szCs w:val="21"/>
                              </w:rPr>
                              <w:t>2</w:t>
                            </w:r>
                            <w:r>
                              <w:rPr>
                                <w:rFonts w:ascii="Times New Roman" w:hAnsi="Times New Roman" w:eastAsia="微软雅黑" w:cs="Times New Roman"/>
                                <w:spacing w:val="-2"/>
                                <w:kern w:val="0"/>
                                <w:position w:val="-1"/>
                                <w:szCs w:val="21"/>
                              </w:rPr>
                              <w:t>0</w:t>
                            </w:r>
                            <w:r>
                              <w:rPr>
                                <w:rFonts w:ascii="Times New Roman" w:hAnsi="Times New Roman" w:eastAsia="微软雅黑" w:cs="Times New Roman"/>
                                <w:kern w:val="0"/>
                                <w:position w:val="-1"/>
                                <w:szCs w:val="21"/>
                              </w:rPr>
                              <w:t>2</w:t>
                            </w:r>
                            <w:r>
                              <w:rPr>
                                <w:rFonts w:hint="eastAsia" w:ascii="Times New Roman" w:hAnsi="Times New Roman" w:eastAsia="微软雅黑" w:cs="Times New Roman"/>
                                <w:kern w:val="0"/>
                                <w:position w:val="-1"/>
                                <w:szCs w:val="21"/>
                              </w:rPr>
                              <w:t>2</w:t>
                            </w:r>
                            <w:r>
                              <w:rPr>
                                <w:rFonts w:hint="eastAsia" w:ascii="微软雅黑" w:hAnsi="Times New Roman" w:eastAsia="微软雅黑" w:cs="微软雅黑"/>
                                <w:kern w:val="0"/>
                                <w:position w:val="-1"/>
                                <w:szCs w:val="21"/>
                              </w:rPr>
                              <w:t>年</w:t>
                            </w:r>
                            <w:r>
                              <w:rPr>
                                <w:rFonts w:hint="eastAsia" w:ascii="Times New Roman" w:hAnsi="Times New Roman" w:eastAsia="微软雅黑" w:cs="Times New Roman"/>
                                <w:spacing w:val="-10"/>
                                <w:kern w:val="0"/>
                                <w:position w:val="-1"/>
                                <w:szCs w:val="21"/>
                              </w:rPr>
                              <w:t>03</w:t>
                            </w:r>
                            <w:r>
                              <w:rPr>
                                <w:rFonts w:hint="eastAsia" w:ascii="微软雅黑" w:hAnsi="Times New Roman" w:eastAsia="微软雅黑" w:cs="微软雅黑"/>
                                <w:kern w:val="0"/>
                                <w:position w:val="-1"/>
                                <w:szCs w:val="21"/>
                              </w:rPr>
                              <w:t>月</w:t>
                            </w:r>
                            <w:r>
                              <w:rPr>
                                <w:rFonts w:ascii="Times New Roman" w:hAnsi="Times New Roman" w:eastAsia="微软雅黑" w:cs="Times New Roman"/>
                                <w:spacing w:val="-2"/>
                                <w:kern w:val="0"/>
                                <w:position w:val="-1"/>
                                <w:szCs w:val="21"/>
                              </w:rPr>
                              <w:t>1</w:t>
                            </w:r>
                            <w:r>
                              <w:rPr>
                                <w:rFonts w:hint="eastAsia" w:ascii="Times New Roman" w:hAnsi="Times New Roman" w:eastAsia="微软雅黑" w:cs="Times New Roman"/>
                                <w:kern w:val="0"/>
                                <w:position w:val="-1"/>
                                <w:szCs w:val="21"/>
                                <w:lang w:val="en-US" w:eastAsia="zh-CN"/>
                              </w:rPr>
                              <w:t>4</w:t>
                            </w:r>
                            <w:r>
                              <w:rPr>
                                <w:rFonts w:hint="eastAsia" w:ascii="微软雅黑" w:hAnsi="Times New Roman" w:eastAsia="微软雅黑" w:cs="微软雅黑"/>
                                <w:kern w:val="0"/>
                                <w:position w:val="-1"/>
                                <w:szCs w:val="21"/>
                              </w:rPr>
                              <w:t>日</w:t>
                            </w:r>
                          </w:p>
                        </w:tc>
                      </w:tr>
                    </w:tbl>
                    <w:p>
                      <w:pPr>
                        <w:autoSpaceDE w:val="0"/>
                        <w:autoSpaceDN w:val="0"/>
                        <w:adjustRightInd w:val="0"/>
                        <w:jc w:val="left"/>
                        <w:rPr>
                          <w:rFonts w:ascii="Times New Roman" w:hAnsi="Times New Roman" w:cs="Times New Roman"/>
                          <w:kern w:val="0"/>
                          <w:sz w:val="24"/>
                          <w:szCs w:val="24"/>
                        </w:rPr>
                      </w:pPr>
                    </w:p>
                  </w:txbxContent>
                </v:textbox>
              </v:shape>
            </w:pict>
          </mc:Fallback>
        </mc:AlternateContent>
      </w:r>
      <w:r>
        <w:rPr>
          <w:rFonts w:hint="eastAsia" w:asciiTheme="minorEastAsia" w:hAnsiTheme="minorEastAsia" w:cstheme="minorEastAsia"/>
          <w:b/>
          <w:bCs/>
          <w:sz w:val="24"/>
          <w:szCs w:val="24"/>
        </w:rPr>
        <w:t xml:space="preserve">附件 1 </w:t>
      </w:r>
      <w:r>
        <w:rPr>
          <w:rFonts w:hint="eastAsia" w:asciiTheme="minorEastAsia" w:hAnsiTheme="minorEastAsia" w:cstheme="minorEastAsia"/>
          <w:b/>
          <w:bCs/>
          <w:sz w:val="24"/>
          <w:szCs w:val="24"/>
          <w:lang w:val="en-US" w:eastAsia="zh-CN"/>
        </w:rPr>
        <w:t>标准起草组会议讨论意见汇总</w:t>
      </w:r>
      <w:r>
        <w:rPr>
          <w:rFonts w:hint="eastAsia" w:asciiTheme="minorEastAsia" w:hAnsiTheme="minorEastAsia" w:cstheme="minorEastAsia"/>
          <w:b/>
          <w:bCs/>
          <w:sz w:val="24"/>
          <w:szCs w:val="24"/>
        </w:rPr>
        <w:t>表</w:t>
      </w:r>
    </w:p>
    <w:p>
      <w:pPr>
        <w:autoSpaceDE w:val="0"/>
        <w:autoSpaceDN w:val="0"/>
        <w:adjustRightInd w:val="0"/>
        <w:spacing w:line="418" w:lineRule="exact"/>
        <w:ind w:left="3986"/>
        <w:jc w:val="left"/>
        <w:rPr>
          <w:rFonts w:ascii="微软雅黑" w:hAnsi="Times New Roman" w:eastAsia="微软雅黑" w:cs="微软雅黑"/>
          <w:kern w:val="0"/>
          <w:sz w:val="32"/>
          <w:szCs w:val="32"/>
        </w:rPr>
      </w:pPr>
      <w:r>
        <w:rPr>
          <w:rFonts w:hint="eastAsia" w:ascii="微软雅黑" w:hAnsi="Times New Roman" w:eastAsia="微软雅黑" w:cs="微软雅黑"/>
          <w:spacing w:val="2"/>
          <w:kern w:val="0"/>
          <w:sz w:val="32"/>
          <w:szCs w:val="32"/>
        </w:rPr>
        <w:t>《复合肥料行</w:t>
      </w:r>
      <w:r>
        <w:rPr>
          <w:rFonts w:hint="eastAsia" w:ascii="微软雅黑" w:hAnsi="Times New Roman" w:eastAsia="微软雅黑" w:cs="微软雅黑"/>
          <w:kern w:val="0"/>
          <w:sz w:val="32"/>
          <w:szCs w:val="32"/>
        </w:rPr>
        <w:t>业</w:t>
      </w:r>
      <w:r>
        <w:rPr>
          <w:rFonts w:hint="eastAsia" w:ascii="微软雅黑" w:hAnsi="Times New Roman" w:eastAsia="微软雅黑" w:cs="微软雅黑"/>
          <w:spacing w:val="2"/>
          <w:kern w:val="0"/>
          <w:sz w:val="32"/>
          <w:szCs w:val="32"/>
        </w:rPr>
        <w:t>绿色工厂评价</w:t>
      </w:r>
      <w:r>
        <w:rPr>
          <w:rFonts w:hint="eastAsia" w:ascii="微软雅黑" w:hAnsi="Times New Roman" w:eastAsia="微软雅黑" w:cs="微软雅黑"/>
          <w:kern w:val="0"/>
          <w:sz w:val="32"/>
          <w:szCs w:val="32"/>
        </w:rPr>
        <w:t>要</w:t>
      </w:r>
      <w:r>
        <w:rPr>
          <w:rFonts w:hint="eastAsia" w:ascii="微软雅黑" w:hAnsi="Times New Roman" w:eastAsia="微软雅黑" w:cs="微软雅黑"/>
          <w:spacing w:val="5"/>
          <w:kern w:val="0"/>
          <w:sz w:val="32"/>
          <w:szCs w:val="32"/>
        </w:rPr>
        <w:t>求</w:t>
      </w:r>
      <w:r>
        <w:rPr>
          <w:rFonts w:hint="eastAsia" w:ascii="微软雅黑" w:hAnsi="Times New Roman" w:eastAsia="微软雅黑" w:cs="微软雅黑"/>
          <w:spacing w:val="2"/>
          <w:kern w:val="0"/>
          <w:sz w:val="32"/>
          <w:szCs w:val="32"/>
        </w:rPr>
        <w:t>》意见汇总</w:t>
      </w:r>
    </w:p>
    <w:p>
      <w:pPr>
        <w:autoSpaceDE w:val="0"/>
        <w:autoSpaceDN w:val="0"/>
        <w:adjustRightInd w:val="0"/>
        <w:spacing w:before="9" w:line="190" w:lineRule="exact"/>
        <w:jc w:val="left"/>
        <w:rPr>
          <w:rFonts w:ascii="微软雅黑" w:hAnsi="Times New Roman" w:eastAsia="微软雅黑" w:cs="微软雅黑"/>
          <w:kern w:val="0"/>
          <w:sz w:val="19"/>
          <w:szCs w:val="19"/>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tbl>
      <w:tblPr>
        <w:tblStyle w:val="4"/>
        <w:tblpPr w:leftFromText="180" w:rightFromText="180" w:vertAnchor="text" w:horzAnchor="page" w:tblpXSpec="center" w:tblpY="413"/>
        <w:tblOverlap w:val="never"/>
        <w:tblW w:w="0" w:type="auto"/>
        <w:jc w:val="center"/>
        <w:tblLayout w:type="fixed"/>
        <w:tblCellMar>
          <w:top w:w="0" w:type="dxa"/>
          <w:left w:w="0" w:type="dxa"/>
          <w:bottom w:w="0" w:type="dxa"/>
          <w:right w:w="0" w:type="dxa"/>
        </w:tblCellMar>
      </w:tblPr>
      <w:tblGrid>
        <w:gridCol w:w="611"/>
        <w:gridCol w:w="5086"/>
        <w:gridCol w:w="2712"/>
        <w:gridCol w:w="1229"/>
        <w:gridCol w:w="4488"/>
      </w:tblGrid>
      <w:tr>
        <w:tblPrEx>
          <w:tblCellMar>
            <w:top w:w="0" w:type="dxa"/>
            <w:left w:w="0" w:type="dxa"/>
            <w:bottom w:w="0" w:type="dxa"/>
            <w:right w:w="0" w:type="dxa"/>
          </w:tblCellMar>
        </w:tblPrEx>
        <w:trPr>
          <w:trHeight w:val="758" w:hRule="exact"/>
          <w:jc w:val="center"/>
        </w:trPr>
        <w:tc>
          <w:tcPr>
            <w:tcW w:w="611"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line="318" w:lineRule="exact"/>
              <w:ind w:left="205"/>
              <w:jc w:val="left"/>
              <w:rPr>
                <w:rFonts w:ascii="微软雅黑" w:hAnsi="Times New Roman" w:eastAsia="微软雅黑" w:cs="微软雅黑"/>
                <w:kern w:val="0"/>
                <w:szCs w:val="21"/>
              </w:rPr>
            </w:pPr>
            <w:r>
              <w:rPr>
                <w:rFonts w:hint="eastAsia" w:ascii="微软雅黑" w:hAnsi="Times New Roman" w:eastAsia="微软雅黑" w:cs="微软雅黑"/>
                <w:kern w:val="0"/>
                <w:position w:val="-1"/>
                <w:szCs w:val="21"/>
              </w:rPr>
              <w:t>序</w:t>
            </w:r>
          </w:p>
          <w:p>
            <w:pPr>
              <w:autoSpaceDE w:val="0"/>
              <w:autoSpaceDN w:val="0"/>
              <w:adjustRightInd w:val="0"/>
              <w:spacing w:before="16"/>
              <w:ind w:left="205"/>
              <w:jc w:val="left"/>
              <w:rPr>
                <w:rFonts w:ascii="Times New Roman" w:hAnsi="Times New Roman" w:cs="Times New Roman"/>
                <w:kern w:val="0"/>
                <w:sz w:val="24"/>
                <w:szCs w:val="24"/>
              </w:rPr>
            </w:pPr>
            <w:r>
              <w:rPr>
                <w:rFonts w:hint="eastAsia" w:ascii="微软雅黑" w:hAnsi="Times New Roman" w:eastAsia="微软雅黑" w:cs="微软雅黑"/>
                <w:kern w:val="0"/>
                <w:szCs w:val="21"/>
              </w:rPr>
              <w:t>号</w:t>
            </w:r>
          </w:p>
        </w:tc>
        <w:tc>
          <w:tcPr>
            <w:tcW w:w="5086"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7" w:line="140" w:lineRule="exact"/>
              <w:jc w:val="left"/>
              <w:rPr>
                <w:rFonts w:ascii="Times New Roman" w:hAnsi="Times New Roman" w:cs="Times New Roman"/>
                <w:kern w:val="0"/>
                <w:sz w:val="14"/>
                <w:szCs w:val="14"/>
              </w:rPr>
            </w:pPr>
          </w:p>
          <w:p>
            <w:pPr>
              <w:autoSpaceDE w:val="0"/>
              <w:autoSpaceDN w:val="0"/>
              <w:adjustRightInd w:val="0"/>
              <w:ind w:left="2277" w:right="2280"/>
              <w:jc w:val="center"/>
              <w:rPr>
                <w:rFonts w:ascii="Times New Roman" w:hAnsi="Times New Roman" w:cs="Times New Roman"/>
                <w:kern w:val="0"/>
                <w:sz w:val="24"/>
                <w:szCs w:val="24"/>
              </w:rPr>
            </w:pPr>
            <w:r>
              <w:rPr>
                <w:rFonts w:hint="eastAsia" w:ascii="微软雅黑" w:hAnsi="Times New Roman" w:eastAsia="微软雅黑" w:cs="微软雅黑"/>
                <w:kern w:val="0"/>
                <w:szCs w:val="21"/>
              </w:rPr>
              <w:t>意见</w:t>
            </w:r>
          </w:p>
        </w:tc>
        <w:tc>
          <w:tcPr>
            <w:tcW w:w="271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7" w:line="140" w:lineRule="exact"/>
              <w:jc w:val="left"/>
              <w:rPr>
                <w:rFonts w:ascii="Times New Roman" w:hAnsi="Times New Roman" w:cs="Times New Roman"/>
                <w:kern w:val="0"/>
                <w:sz w:val="14"/>
                <w:szCs w:val="14"/>
              </w:rPr>
            </w:pPr>
          </w:p>
          <w:p>
            <w:pPr>
              <w:autoSpaceDE w:val="0"/>
              <w:autoSpaceDN w:val="0"/>
              <w:adjustRightInd w:val="0"/>
              <w:ind w:left="1101" w:right="1106"/>
              <w:jc w:val="center"/>
              <w:rPr>
                <w:rFonts w:ascii="Times New Roman" w:hAnsi="Times New Roman" w:cs="Times New Roman"/>
                <w:kern w:val="0"/>
                <w:sz w:val="24"/>
                <w:szCs w:val="24"/>
              </w:rPr>
            </w:pPr>
            <w:r>
              <w:rPr>
                <w:rFonts w:hint="eastAsia" w:ascii="微软雅黑" w:hAnsi="Times New Roman" w:eastAsia="微软雅黑" w:cs="微软雅黑"/>
                <w:kern w:val="0"/>
                <w:szCs w:val="21"/>
              </w:rPr>
              <w:t>单位</w:t>
            </w:r>
          </w:p>
        </w:tc>
        <w:tc>
          <w:tcPr>
            <w:tcW w:w="122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7" w:line="140" w:lineRule="exact"/>
              <w:jc w:val="left"/>
              <w:rPr>
                <w:rFonts w:ascii="Times New Roman" w:hAnsi="Times New Roman" w:cs="Times New Roman"/>
                <w:kern w:val="0"/>
                <w:sz w:val="14"/>
                <w:szCs w:val="14"/>
              </w:rPr>
            </w:pPr>
          </w:p>
          <w:p>
            <w:pPr>
              <w:autoSpaceDE w:val="0"/>
              <w:autoSpaceDN w:val="0"/>
              <w:adjustRightInd w:val="0"/>
              <w:ind w:left="186"/>
              <w:jc w:val="left"/>
              <w:rPr>
                <w:rFonts w:ascii="Times New Roman" w:hAnsi="Times New Roman" w:cs="Times New Roman"/>
                <w:kern w:val="0"/>
                <w:sz w:val="24"/>
                <w:szCs w:val="24"/>
              </w:rPr>
            </w:pPr>
            <w:r>
              <w:rPr>
                <w:rFonts w:hint="eastAsia" w:ascii="微软雅黑" w:hAnsi="Times New Roman" w:eastAsia="微软雅黑" w:cs="微软雅黑"/>
                <w:kern w:val="0"/>
                <w:szCs w:val="21"/>
              </w:rPr>
              <w:t>采纳情况</w:t>
            </w:r>
          </w:p>
        </w:tc>
        <w:tc>
          <w:tcPr>
            <w:tcW w:w="448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7" w:line="140" w:lineRule="exact"/>
              <w:jc w:val="left"/>
              <w:rPr>
                <w:rFonts w:ascii="Times New Roman" w:hAnsi="Times New Roman" w:cs="Times New Roman"/>
                <w:kern w:val="0"/>
                <w:sz w:val="14"/>
                <w:szCs w:val="14"/>
              </w:rPr>
            </w:pPr>
          </w:p>
          <w:p>
            <w:pPr>
              <w:autoSpaceDE w:val="0"/>
              <w:autoSpaceDN w:val="0"/>
              <w:adjustRightInd w:val="0"/>
              <w:ind w:left="1569" w:right="1569"/>
              <w:jc w:val="center"/>
              <w:rPr>
                <w:rFonts w:ascii="Times New Roman" w:hAnsi="Times New Roman" w:cs="Times New Roman"/>
                <w:kern w:val="0"/>
                <w:sz w:val="24"/>
                <w:szCs w:val="24"/>
              </w:rPr>
            </w:pPr>
            <w:r>
              <w:rPr>
                <w:rFonts w:hint="eastAsia" w:ascii="微软雅黑" w:hAnsi="Times New Roman" w:eastAsia="微软雅黑" w:cs="微软雅黑"/>
                <w:kern w:val="0"/>
                <w:szCs w:val="21"/>
              </w:rPr>
              <w:t>意见处理情况</w:t>
            </w:r>
          </w:p>
        </w:tc>
      </w:tr>
      <w:tr>
        <w:tblPrEx>
          <w:tblCellMar>
            <w:top w:w="0" w:type="dxa"/>
            <w:left w:w="0" w:type="dxa"/>
            <w:bottom w:w="0" w:type="dxa"/>
            <w:right w:w="0" w:type="dxa"/>
          </w:tblCellMar>
        </w:tblPrEx>
        <w:trPr>
          <w:trHeight w:val="1029" w:hRule="exact"/>
          <w:jc w:val="center"/>
        </w:trPr>
        <w:tc>
          <w:tcPr>
            <w:tcW w:w="611"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w:t>
            </w:r>
          </w:p>
        </w:tc>
        <w:tc>
          <w:tcPr>
            <w:tcW w:w="5086"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rPr>
                <w:rFonts w:asciiTheme="minorEastAsia" w:hAnsiTheme="minorEastAsia" w:cstheme="minorEastAsia"/>
                <w:kern w:val="0"/>
                <w:sz w:val="24"/>
                <w:szCs w:val="24"/>
              </w:rPr>
            </w:pPr>
            <w:r>
              <w:rPr>
                <w:rFonts w:hint="eastAsia" w:asciiTheme="minorEastAsia" w:hAnsiTheme="minorEastAsia" w:cstheme="minorEastAsia"/>
                <w:sz w:val="24"/>
                <w:szCs w:val="24"/>
              </w:rPr>
              <w:t>1范围中</w:t>
            </w:r>
            <w:r>
              <w:rPr>
                <w:rFonts w:hint="eastAsia" w:asciiTheme="minorEastAsia" w:hAnsiTheme="minorEastAsia" w:cstheme="minorEastAsia"/>
                <w:sz w:val="24"/>
                <w:szCs w:val="24"/>
                <w:lang w:eastAsia="zh-Hans"/>
              </w:rPr>
              <w:t>“复合肥料”这个概念较大，不容易限定，建议限定为“执行GB/T15063标准的复合肥料”</w:t>
            </w:r>
          </w:p>
        </w:tc>
        <w:tc>
          <w:tcPr>
            <w:tcW w:w="27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sz w:val="24"/>
                <w:szCs w:val="24"/>
                <w:lang w:eastAsia="zh-Hans"/>
              </w:rPr>
              <w:t>黑龙江爱农复合肥料有限公司</w:t>
            </w:r>
          </w:p>
        </w:tc>
        <w:tc>
          <w:tcPr>
            <w:tcW w:w="1229"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未采纳</w:t>
            </w:r>
          </w:p>
        </w:tc>
        <w:tc>
          <w:tcPr>
            <w:tcW w:w="4488"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rPr>
                <w:rFonts w:asciiTheme="minorEastAsia" w:hAnsiTheme="minorEastAsia" w:cstheme="minorEastAsia"/>
                <w:kern w:val="0"/>
                <w:sz w:val="24"/>
                <w:szCs w:val="24"/>
              </w:rPr>
            </w:pPr>
            <w:r>
              <w:rPr>
                <w:rFonts w:hint="eastAsia" w:asciiTheme="minorEastAsia" w:hAnsiTheme="minorEastAsia" w:cstheme="minorEastAsia"/>
                <w:sz w:val="24"/>
                <w:szCs w:val="24"/>
              </w:rPr>
              <w:t>“复合肥料”概念已经引用GB/T 15063标准中的概念</w:t>
            </w:r>
          </w:p>
        </w:tc>
      </w:tr>
      <w:tr>
        <w:tblPrEx>
          <w:tblCellMar>
            <w:top w:w="0" w:type="dxa"/>
            <w:left w:w="0" w:type="dxa"/>
            <w:bottom w:w="0" w:type="dxa"/>
            <w:right w:w="0" w:type="dxa"/>
          </w:tblCellMar>
        </w:tblPrEx>
        <w:trPr>
          <w:trHeight w:val="1301" w:hRule="exact"/>
          <w:jc w:val="center"/>
        </w:trPr>
        <w:tc>
          <w:tcPr>
            <w:tcW w:w="611"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w:t>
            </w:r>
          </w:p>
        </w:tc>
        <w:tc>
          <w:tcPr>
            <w:tcW w:w="5086"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rPr>
                <w:rFonts w:asciiTheme="minorEastAsia" w:hAnsiTheme="minorEastAsia" w:cstheme="minorEastAsia"/>
                <w:sz w:val="24"/>
                <w:szCs w:val="24"/>
              </w:rPr>
            </w:pPr>
            <w:r>
              <w:rPr>
                <w:rFonts w:hint="eastAsia"/>
                <w:sz w:val="24"/>
                <w:lang w:eastAsia="zh-Hans"/>
              </w:rPr>
              <w:t>是否再加入“投资经济化”这个理念</w:t>
            </w:r>
            <w:r>
              <w:rPr>
                <w:sz w:val="24"/>
                <w:lang w:eastAsia="zh-Hans"/>
              </w:rPr>
              <w:t>？</w:t>
            </w:r>
            <w:r>
              <w:rPr>
                <w:rFonts w:hint="eastAsia"/>
                <w:sz w:val="24"/>
                <w:lang w:eastAsia="zh-Hans"/>
              </w:rPr>
              <w:t>为了追求绿色指标而无限投资的行为也是不可取的</w:t>
            </w:r>
            <w:r>
              <w:rPr>
                <w:sz w:val="24"/>
                <w:lang w:eastAsia="zh-Hans"/>
              </w:rPr>
              <w:t>。</w:t>
            </w:r>
          </w:p>
        </w:tc>
        <w:tc>
          <w:tcPr>
            <w:tcW w:w="27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lang w:eastAsia="zh-Hans"/>
              </w:rPr>
            </w:pPr>
            <w:r>
              <w:rPr>
                <w:rFonts w:hint="eastAsia" w:asciiTheme="minorEastAsia" w:hAnsiTheme="minorEastAsia" w:cstheme="minorEastAsia"/>
                <w:sz w:val="24"/>
                <w:szCs w:val="24"/>
                <w:lang w:eastAsia="zh-Hans"/>
              </w:rPr>
              <w:t>黑龙江爱农复合肥料有限公司</w:t>
            </w:r>
          </w:p>
        </w:tc>
        <w:tc>
          <w:tcPr>
            <w:tcW w:w="1229"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未采纳</w:t>
            </w:r>
          </w:p>
        </w:tc>
        <w:tc>
          <w:tcPr>
            <w:tcW w:w="4488"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rPr>
                <w:rFonts w:asciiTheme="minorEastAsia" w:hAnsiTheme="minorEastAsia" w:cstheme="minorEastAsia"/>
                <w:sz w:val="24"/>
                <w:szCs w:val="24"/>
              </w:rPr>
            </w:pPr>
            <w:r>
              <w:rPr>
                <w:rFonts w:hint="eastAsia" w:asciiTheme="minorEastAsia" w:hAnsiTheme="minorEastAsia" w:cstheme="minorEastAsia"/>
                <w:sz w:val="24"/>
                <w:szCs w:val="24"/>
                <w:lang w:eastAsia="zh-Hans"/>
              </w:rPr>
              <w:t>“投资经济化”</w:t>
            </w:r>
            <w:r>
              <w:rPr>
                <w:rFonts w:hint="eastAsia" w:asciiTheme="minorEastAsia" w:hAnsiTheme="minorEastAsia" w:cstheme="minorEastAsia"/>
                <w:sz w:val="24"/>
                <w:szCs w:val="24"/>
              </w:rPr>
              <w:t>不好判断，投资总金额少并不一定污染少、能耗少。所以文件中是一个整体性的评价体系，对绿色工厂提出了基本要求。</w:t>
            </w:r>
          </w:p>
        </w:tc>
      </w:tr>
      <w:tr>
        <w:tblPrEx>
          <w:tblCellMar>
            <w:top w:w="0" w:type="dxa"/>
            <w:left w:w="0" w:type="dxa"/>
            <w:bottom w:w="0" w:type="dxa"/>
            <w:right w:w="0" w:type="dxa"/>
          </w:tblCellMar>
        </w:tblPrEx>
        <w:trPr>
          <w:trHeight w:val="1906" w:hRule="exact"/>
          <w:jc w:val="center"/>
        </w:trPr>
        <w:tc>
          <w:tcPr>
            <w:tcW w:w="611"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3</w:t>
            </w:r>
          </w:p>
        </w:tc>
        <w:tc>
          <w:tcPr>
            <w:tcW w:w="5086"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rPr>
                <w:rFonts w:asciiTheme="minorEastAsia" w:hAnsiTheme="minorEastAsia" w:cstheme="minorEastAsia"/>
                <w:kern w:val="0"/>
                <w:sz w:val="24"/>
                <w:szCs w:val="24"/>
              </w:rPr>
            </w:pPr>
            <w:r>
              <w:rPr>
                <w:rFonts w:hint="eastAsia" w:asciiTheme="minorEastAsia" w:hAnsiTheme="minorEastAsia" w:cstheme="minorEastAsia"/>
                <w:sz w:val="24"/>
                <w:szCs w:val="24"/>
              </w:rPr>
              <w:t>4总则中</w:t>
            </w:r>
            <w:r>
              <w:rPr>
                <w:rFonts w:hint="eastAsia" w:cs="Times New Roman"/>
                <w:sz w:val="24"/>
                <w:szCs w:val="20"/>
                <w:lang w:eastAsia="zh-Hans"/>
              </w:rPr>
              <w:t>本章标题为“评价原则”</w:t>
            </w:r>
            <w:r>
              <w:rPr>
                <w:rFonts w:cs="Times New Roman"/>
                <w:sz w:val="24"/>
                <w:szCs w:val="20"/>
                <w:lang w:eastAsia="zh-Hans"/>
              </w:rPr>
              <w:t>，</w:t>
            </w:r>
            <w:r>
              <w:rPr>
                <w:rFonts w:hint="eastAsia" w:cs="Times New Roman"/>
                <w:sz w:val="24"/>
                <w:szCs w:val="20"/>
                <w:lang w:eastAsia="zh-Hans"/>
              </w:rPr>
              <w:t>但文本内容并没有具体的原则</w:t>
            </w:r>
            <w:r>
              <w:rPr>
                <w:rFonts w:cs="Times New Roman"/>
                <w:sz w:val="24"/>
                <w:szCs w:val="20"/>
                <w:lang w:eastAsia="zh-Hans"/>
              </w:rPr>
              <w:t>，</w:t>
            </w:r>
            <w:r>
              <w:rPr>
                <w:rFonts w:hint="eastAsia" w:cs="Times New Roman"/>
                <w:sz w:val="24"/>
                <w:szCs w:val="20"/>
                <w:lang w:eastAsia="zh-Hans"/>
              </w:rPr>
              <w:t>而是讲的评价体系和评价指标</w:t>
            </w:r>
            <w:r>
              <w:rPr>
                <w:rFonts w:cs="Times New Roman"/>
                <w:sz w:val="24"/>
                <w:szCs w:val="20"/>
                <w:lang w:eastAsia="zh-Hans"/>
              </w:rPr>
              <w:t>。</w:t>
            </w:r>
            <w:r>
              <w:rPr>
                <w:rFonts w:hint="eastAsia" w:cs="Times New Roman"/>
                <w:sz w:val="24"/>
                <w:szCs w:val="20"/>
                <w:lang w:eastAsia="zh-Hans"/>
              </w:rPr>
              <w:t>评价体系和评价指标是第</w:t>
            </w:r>
            <w:r>
              <w:rPr>
                <w:rFonts w:cs="Times New Roman"/>
                <w:sz w:val="24"/>
                <w:szCs w:val="20"/>
                <w:lang w:eastAsia="zh-Hans"/>
              </w:rPr>
              <w:t>5</w:t>
            </w:r>
            <w:r>
              <w:rPr>
                <w:rFonts w:hint="eastAsia" w:cs="Times New Roman"/>
                <w:sz w:val="24"/>
                <w:szCs w:val="20"/>
                <w:lang w:eastAsia="zh-Hans"/>
              </w:rPr>
              <w:t>章内容</w:t>
            </w:r>
            <w:r>
              <w:rPr>
                <w:rFonts w:cs="Times New Roman"/>
                <w:sz w:val="24"/>
                <w:szCs w:val="20"/>
                <w:lang w:eastAsia="zh-Hans"/>
              </w:rPr>
              <w:t>，</w:t>
            </w:r>
            <w:r>
              <w:rPr>
                <w:rFonts w:hint="eastAsia" w:cs="Times New Roman"/>
                <w:sz w:val="24"/>
                <w:szCs w:val="20"/>
                <w:lang w:eastAsia="zh-Hans"/>
              </w:rPr>
              <w:t>这里只起到了概述的目的</w:t>
            </w:r>
            <w:r>
              <w:rPr>
                <w:rFonts w:cs="Times New Roman"/>
                <w:sz w:val="24"/>
                <w:szCs w:val="20"/>
                <w:lang w:eastAsia="zh-Hans"/>
              </w:rPr>
              <w:t>。</w:t>
            </w:r>
            <w:r>
              <w:rPr>
                <w:rFonts w:hint="eastAsia" w:cs="Times New Roman"/>
                <w:sz w:val="24"/>
                <w:szCs w:val="20"/>
                <w:lang w:eastAsia="zh-Hans"/>
              </w:rPr>
              <w:t>而标准文本中这种概述是没有意愿的</w:t>
            </w:r>
            <w:r>
              <w:rPr>
                <w:rFonts w:cs="Times New Roman"/>
                <w:sz w:val="24"/>
                <w:szCs w:val="20"/>
                <w:lang w:eastAsia="zh-Hans"/>
              </w:rPr>
              <w:t>。</w:t>
            </w:r>
            <w:r>
              <w:rPr>
                <w:rFonts w:hint="eastAsia" w:cs="Times New Roman"/>
                <w:sz w:val="24"/>
                <w:szCs w:val="20"/>
                <w:lang w:eastAsia="zh-Hans"/>
              </w:rPr>
              <w:t>建议删除此章</w:t>
            </w:r>
            <w:r>
              <w:rPr>
                <w:rFonts w:cs="Times New Roman"/>
                <w:sz w:val="24"/>
                <w:szCs w:val="20"/>
                <w:lang w:eastAsia="zh-Hans"/>
              </w:rPr>
              <w:t>，</w:t>
            </w:r>
            <w:r>
              <w:rPr>
                <w:rFonts w:hint="eastAsia" w:cs="Times New Roman"/>
                <w:sz w:val="24"/>
                <w:szCs w:val="20"/>
                <w:lang w:eastAsia="zh-Hans"/>
              </w:rPr>
              <w:t>或者换成原则的内容</w:t>
            </w:r>
            <w:r>
              <w:rPr>
                <w:rFonts w:cs="Times New Roman"/>
                <w:sz w:val="24"/>
                <w:szCs w:val="20"/>
                <w:lang w:eastAsia="zh-Hans"/>
              </w:rPr>
              <w:t>。</w:t>
            </w:r>
          </w:p>
        </w:tc>
        <w:tc>
          <w:tcPr>
            <w:tcW w:w="27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sz w:val="24"/>
                <w:szCs w:val="24"/>
                <w:lang w:eastAsia="zh-Hans"/>
              </w:rPr>
            </w:pPr>
            <w:r>
              <w:rPr>
                <w:rFonts w:hint="eastAsia" w:asciiTheme="minorEastAsia" w:hAnsiTheme="minorEastAsia" w:cstheme="minorEastAsia"/>
                <w:sz w:val="24"/>
                <w:szCs w:val="24"/>
                <w:lang w:eastAsia="zh-Hans"/>
              </w:rPr>
              <w:t>黑龙江爱农复合肥料有限公司</w:t>
            </w:r>
          </w:p>
        </w:tc>
        <w:tc>
          <w:tcPr>
            <w:tcW w:w="1229"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采纳</w:t>
            </w:r>
          </w:p>
        </w:tc>
        <w:tc>
          <w:tcPr>
            <w:tcW w:w="4488"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rPr>
                <w:rFonts w:asciiTheme="minorEastAsia" w:hAnsiTheme="minorEastAsia" w:cstheme="minorEastAsia"/>
                <w:kern w:val="0"/>
                <w:sz w:val="24"/>
                <w:szCs w:val="24"/>
              </w:rPr>
            </w:pPr>
            <w:r>
              <w:rPr>
                <w:rFonts w:hint="eastAsia" w:asciiTheme="minorEastAsia" w:hAnsiTheme="minorEastAsia" w:cstheme="minorEastAsia"/>
                <w:kern w:val="0"/>
                <w:sz w:val="24"/>
                <w:szCs w:val="24"/>
              </w:rPr>
              <w:t>已调整文字表述。</w:t>
            </w:r>
          </w:p>
        </w:tc>
      </w:tr>
      <w:tr>
        <w:tblPrEx>
          <w:tblCellMar>
            <w:top w:w="0" w:type="dxa"/>
            <w:left w:w="0" w:type="dxa"/>
            <w:bottom w:w="0" w:type="dxa"/>
            <w:right w:w="0" w:type="dxa"/>
          </w:tblCellMar>
        </w:tblPrEx>
        <w:trPr>
          <w:trHeight w:val="1426" w:hRule="exact"/>
          <w:jc w:val="center"/>
        </w:trPr>
        <w:tc>
          <w:tcPr>
            <w:tcW w:w="611"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w:t>
            </w:r>
          </w:p>
        </w:tc>
        <w:tc>
          <w:tcPr>
            <w:tcW w:w="5086"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rPr>
                <w:rFonts w:asciiTheme="minorEastAsia" w:hAnsiTheme="minorEastAsia" w:cstheme="minorEastAsia"/>
                <w:sz w:val="24"/>
                <w:szCs w:val="24"/>
              </w:rPr>
            </w:pPr>
            <w:r>
              <w:rPr>
                <w:rFonts w:hint="eastAsia"/>
                <w:sz w:val="24"/>
              </w:rPr>
              <w:t>5.1.2</w:t>
            </w:r>
            <w:r>
              <w:rPr>
                <w:rFonts w:hint="eastAsia"/>
                <w:sz w:val="24"/>
                <w:lang w:eastAsia="zh-Hans"/>
              </w:rPr>
              <w:t>章节层级过多</w:t>
            </w:r>
            <w:r>
              <w:rPr>
                <w:sz w:val="24"/>
                <w:lang w:eastAsia="zh-Hans"/>
              </w:rPr>
              <w:t>，</w:t>
            </w:r>
            <w:r>
              <w:rPr>
                <w:rFonts w:hint="eastAsia"/>
                <w:sz w:val="24"/>
                <w:lang w:eastAsia="zh-Hans"/>
              </w:rPr>
              <w:t>编号不规范</w:t>
            </w:r>
            <w:r>
              <w:rPr>
                <w:sz w:val="24"/>
                <w:lang w:eastAsia="zh-Hans"/>
              </w:rPr>
              <w:t>。</w:t>
            </w:r>
          </w:p>
        </w:tc>
        <w:tc>
          <w:tcPr>
            <w:tcW w:w="27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sz w:val="24"/>
                <w:szCs w:val="24"/>
                <w:lang w:eastAsia="zh-Hans"/>
              </w:rPr>
            </w:pPr>
            <w:r>
              <w:rPr>
                <w:rFonts w:hint="eastAsia" w:asciiTheme="minorEastAsia" w:hAnsiTheme="minorEastAsia" w:cstheme="minorEastAsia"/>
                <w:sz w:val="24"/>
                <w:szCs w:val="24"/>
                <w:lang w:eastAsia="zh-Hans"/>
              </w:rPr>
              <w:t>黑龙江爱农复合肥料有限公司</w:t>
            </w:r>
          </w:p>
        </w:tc>
        <w:tc>
          <w:tcPr>
            <w:tcW w:w="1229"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采纳</w:t>
            </w:r>
          </w:p>
        </w:tc>
        <w:tc>
          <w:tcPr>
            <w:tcW w:w="4488"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rPr>
                <w:rFonts w:asciiTheme="minorEastAsia" w:hAnsiTheme="minorEastAsia" w:cstheme="minorEastAsia"/>
                <w:kern w:val="0"/>
                <w:sz w:val="24"/>
                <w:szCs w:val="24"/>
              </w:rPr>
            </w:pPr>
            <w:r>
              <w:rPr>
                <w:rFonts w:hint="eastAsia" w:asciiTheme="minorEastAsia" w:hAnsiTheme="minorEastAsia" w:cstheme="minorEastAsia"/>
                <w:kern w:val="0"/>
                <w:sz w:val="24"/>
                <w:szCs w:val="24"/>
              </w:rPr>
              <w:t>已做相应调整。</w:t>
            </w:r>
          </w:p>
        </w:tc>
      </w:tr>
      <w:tr>
        <w:tblPrEx>
          <w:tblCellMar>
            <w:top w:w="0" w:type="dxa"/>
            <w:left w:w="0" w:type="dxa"/>
            <w:bottom w:w="0" w:type="dxa"/>
            <w:right w:w="0" w:type="dxa"/>
          </w:tblCellMar>
        </w:tblPrEx>
        <w:trPr>
          <w:trHeight w:val="1378" w:hRule="exact"/>
          <w:jc w:val="center"/>
        </w:trPr>
        <w:tc>
          <w:tcPr>
            <w:tcW w:w="611"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5</w:t>
            </w:r>
          </w:p>
        </w:tc>
        <w:tc>
          <w:tcPr>
            <w:tcW w:w="5086"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rPr>
                <w:sz w:val="24"/>
              </w:rPr>
            </w:pPr>
            <w:r>
              <w:rPr>
                <w:rFonts w:hint="eastAsia"/>
                <w:sz w:val="24"/>
              </w:rPr>
              <w:t>5.2.6.2</w:t>
            </w:r>
            <w:r>
              <w:rPr>
                <w:rFonts w:hint="eastAsia"/>
                <w:sz w:val="24"/>
                <w:lang w:eastAsia="zh-Hans"/>
              </w:rPr>
              <w:t>章节编号不规范</w:t>
            </w:r>
            <w:r>
              <w:rPr>
                <w:sz w:val="24"/>
                <w:lang w:eastAsia="zh-Hans"/>
              </w:rPr>
              <w:t>，</w:t>
            </w:r>
            <w:r>
              <w:rPr>
                <w:rFonts w:hint="eastAsia"/>
                <w:sz w:val="24"/>
                <w:lang w:eastAsia="zh-Hans"/>
              </w:rPr>
              <w:t>字面标记的节接续</w:t>
            </w:r>
            <w:r>
              <w:rPr>
                <w:sz w:val="24"/>
                <w:lang w:eastAsia="zh-Hans"/>
              </w:rPr>
              <w:t>5</w:t>
            </w:r>
            <w:r>
              <w:rPr>
                <w:rFonts w:hint="eastAsia"/>
                <w:sz w:val="24"/>
                <w:lang w:eastAsia="zh-Hans"/>
              </w:rPr>
              <w:t>.</w:t>
            </w:r>
            <w:r>
              <w:rPr>
                <w:sz w:val="24"/>
                <w:lang w:eastAsia="zh-Hans"/>
              </w:rPr>
              <w:t>2</w:t>
            </w:r>
            <w:r>
              <w:rPr>
                <w:rFonts w:hint="eastAsia"/>
                <w:sz w:val="24"/>
                <w:lang w:eastAsia="zh-Hans"/>
              </w:rPr>
              <w:t>.</w:t>
            </w:r>
            <w:r>
              <w:rPr>
                <w:sz w:val="24"/>
                <w:lang w:eastAsia="zh-Hans"/>
              </w:rPr>
              <w:t>6</w:t>
            </w:r>
            <w:r>
              <w:rPr>
                <w:rFonts w:hint="eastAsia"/>
                <w:sz w:val="24"/>
                <w:lang w:eastAsia="zh-Hans"/>
              </w:rPr>
              <w:t>.</w:t>
            </w:r>
            <w:r>
              <w:rPr>
                <w:sz w:val="24"/>
                <w:lang w:eastAsia="zh-Hans"/>
              </w:rPr>
              <w:t>2</w:t>
            </w:r>
            <w:r>
              <w:rPr>
                <w:rFonts w:hint="eastAsia"/>
                <w:sz w:val="24"/>
                <w:lang w:eastAsia="zh-Hans"/>
              </w:rPr>
              <w:t>编排即可</w:t>
            </w:r>
          </w:p>
        </w:tc>
        <w:tc>
          <w:tcPr>
            <w:tcW w:w="27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sz w:val="24"/>
                <w:szCs w:val="24"/>
                <w:lang w:eastAsia="zh-Hans"/>
              </w:rPr>
            </w:pPr>
            <w:r>
              <w:rPr>
                <w:rFonts w:hint="eastAsia" w:asciiTheme="minorEastAsia" w:hAnsiTheme="minorEastAsia" w:cstheme="minorEastAsia"/>
                <w:sz w:val="24"/>
                <w:szCs w:val="24"/>
                <w:lang w:eastAsia="zh-Hans"/>
              </w:rPr>
              <w:t>黑龙江爱农复合肥料有限公司</w:t>
            </w:r>
          </w:p>
        </w:tc>
        <w:tc>
          <w:tcPr>
            <w:tcW w:w="1229"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采纳</w:t>
            </w:r>
          </w:p>
        </w:tc>
        <w:tc>
          <w:tcPr>
            <w:tcW w:w="4488"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rPr>
                <w:rFonts w:asciiTheme="minorEastAsia" w:hAnsiTheme="minorEastAsia" w:cstheme="minorEastAsia"/>
                <w:kern w:val="0"/>
                <w:sz w:val="24"/>
                <w:szCs w:val="24"/>
              </w:rPr>
            </w:pPr>
            <w:r>
              <w:rPr>
                <w:rFonts w:hint="eastAsia" w:asciiTheme="minorEastAsia" w:hAnsiTheme="minorEastAsia" w:cstheme="minorEastAsia"/>
                <w:kern w:val="0"/>
                <w:sz w:val="24"/>
                <w:szCs w:val="24"/>
              </w:rPr>
              <w:t>已做相应调整。</w:t>
            </w:r>
          </w:p>
        </w:tc>
      </w:tr>
      <w:tr>
        <w:tblPrEx>
          <w:tblCellMar>
            <w:top w:w="0" w:type="dxa"/>
            <w:left w:w="0" w:type="dxa"/>
            <w:bottom w:w="0" w:type="dxa"/>
            <w:right w:w="0" w:type="dxa"/>
          </w:tblCellMar>
        </w:tblPrEx>
        <w:trPr>
          <w:trHeight w:val="950" w:hRule="exact"/>
          <w:jc w:val="center"/>
        </w:trPr>
        <w:tc>
          <w:tcPr>
            <w:tcW w:w="611"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6</w:t>
            </w:r>
          </w:p>
        </w:tc>
        <w:tc>
          <w:tcPr>
            <w:tcW w:w="5086"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rPr>
                <w:sz w:val="24"/>
              </w:rPr>
            </w:pPr>
            <w:r>
              <w:rPr>
                <w:rFonts w:hint="eastAsia"/>
                <w:sz w:val="24"/>
              </w:rPr>
              <w:t>5.4.1.3</w:t>
            </w:r>
            <w:r>
              <w:rPr>
                <w:rFonts w:hint="eastAsia"/>
                <w:sz w:val="24"/>
                <w:lang w:eastAsia="zh-Hans"/>
              </w:rPr>
              <w:t>建议将“应建立能源资源计量”中“资源”删除</w:t>
            </w:r>
          </w:p>
        </w:tc>
        <w:tc>
          <w:tcPr>
            <w:tcW w:w="27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sz w:val="24"/>
                <w:szCs w:val="24"/>
                <w:lang w:eastAsia="zh-Hans"/>
              </w:rPr>
            </w:pPr>
            <w:r>
              <w:rPr>
                <w:rFonts w:hint="eastAsia" w:asciiTheme="minorEastAsia" w:hAnsiTheme="minorEastAsia" w:cstheme="minorEastAsia"/>
                <w:sz w:val="24"/>
                <w:szCs w:val="24"/>
                <w:lang w:eastAsia="zh-Hans"/>
              </w:rPr>
              <w:t>黑龙江爱农复合肥料有限公司</w:t>
            </w:r>
          </w:p>
        </w:tc>
        <w:tc>
          <w:tcPr>
            <w:tcW w:w="1229"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未采纳</w:t>
            </w:r>
          </w:p>
        </w:tc>
        <w:tc>
          <w:tcPr>
            <w:tcW w:w="4488"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rPr>
                <w:rFonts w:asciiTheme="minorEastAsia" w:hAnsiTheme="minorEastAsia" w:cstheme="minorEastAsia"/>
                <w:kern w:val="0"/>
                <w:sz w:val="24"/>
                <w:szCs w:val="24"/>
              </w:rPr>
            </w:pPr>
            <w:r>
              <w:rPr>
                <w:rFonts w:hint="eastAsia" w:asciiTheme="minorEastAsia" w:hAnsiTheme="minorEastAsia" w:cstheme="minorEastAsia"/>
                <w:kern w:val="0"/>
                <w:sz w:val="24"/>
                <w:szCs w:val="24"/>
              </w:rPr>
              <w:t>资源也需计量。</w:t>
            </w:r>
          </w:p>
        </w:tc>
      </w:tr>
      <w:tr>
        <w:tblPrEx>
          <w:tblCellMar>
            <w:top w:w="0" w:type="dxa"/>
            <w:left w:w="0" w:type="dxa"/>
            <w:bottom w:w="0" w:type="dxa"/>
            <w:right w:w="0" w:type="dxa"/>
          </w:tblCellMar>
        </w:tblPrEx>
        <w:trPr>
          <w:trHeight w:val="1133" w:hRule="exact"/>
          <w:jc w:val="center"/>
        </w:trPr>
        <w:tc>
          <w:tcPr>
            <w:tcW w:w="611"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7</w:t>
            </w:r>
          </w:p>
        </w:tc>
        <w:tc>
          <w:tcPr>
            <w:tcW w:w="5086"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spacing w:before="16" w:line="250" w:lineRule="auto"/>
              <w:ind w:right="39"/>
              <w:rPr>
                <w:rFonts w:asciiTheme="minorEastAsia" w:hAnsiTheme="minorEastAsia" w:cstheme="minorEastAsia"/>
                <w:sz w:val="24"/>
                <w:szCs w:val="24"/>
              </w:rPr>
            </w:pPr>
            <w:r>
              <w:rPr>
                <w:rFonts w:hint="eastAsia" w:asciiTheme="minorEastAsia" w:hAnsiTheme="minorEastAsia" w:cstheme="minorEastAsia"/>
                <w:sz w:val="24"/>
                <w:szCs w:val="24"/>
              </w:rPr>
              <w:t>5.4.2.4</w:t>
            </w:r>
            <w:r>
              <w:rPr>
                <w:rFonts w:hint="eastAsia"/>
                <w:sz w:val="24"/>
                <w:lang w:eastAsia="zh-Hans"/>
              </w:rPr>
              <w:t>建议将“应避免出现水、蒸汽等能源、资源物质”中“能源、”删除</w:t>
            </w:r>
          </w:p>
        </w:tc>
        <w:tc>
          <w:tcPr>
            <w:tcW w:w="27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sz w:val="24"/>
                <w:szCs w:val="24"/>
                <w:lang w:eastAsia="zh-Hans"/>
              </w:rPr>
            </w:pPr>
            <w:r>
              <w:rPr>
                <w:rFonts w:hint="eastAsia" w:asciiTheme="minorEastAsia" w:hAnsiTheme="minorEastAsia" w:cstheme="minorEastAsia"/>
                <w:sz w:val="24"/>
                <w:szCs w:val="24"/>
                <w:lang w:eastAsia="zh-Hans"/>
              </w:rPr>
              <w:t>黑龙江爱农复合肥料有限公司</w:t>
            </w:r>
          </w:p>
        </w:tc>
        <w:tc>
          <w:tcPr>
            <w:tcW w:w="1229"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采纳</w:t>
            </w:r>
          </w:p>
        </w:tc>
        <w:tc>
          <w:tcPr>
            <w:tcW w:w="4488"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spacing w:line="250" w:lineRule="auto"/>
              <w:ind w:right="44"/>
              <w:rPr>
                <w:rFonts w:asciiTheme="minorEastAsia" w:hAnsiTheme="minorEastAsia" w:cstheme="minorEastAsia"/>
                <w:spacing w:val="2"/>
                <w:kern w:val="0"/>
                <w:sz w:val="24"/>
                <w:szCs w:val="24"/>
              </w:rPr>
            </w:pPr>
            <w:r>
              <w:rPr>
                <w:rFonts w:hint="eastAsia" w:asciiTheme="minorEastAsia" w:hAnsiTheme="minorEastAsia" w:cstheme="minorEastAsia"/>
                <w:kern w:val="0"/>
                <w:sz w:val="24"/>
                <w:szCs w:val="24"/>
              </w:rPr>
              <w:t>已做文字调整。</w:t>
            </w:r>
          </w:p>
        </w:tc>
      </w:tr>
      <w:tr>
        <w:tblPrEx>
          <w:tblCellMar>
            <w:top w:w="0" w:type="dxa"/>
            <w:left w:w="0" w:type="dxa"/>
            <w:bottom w:w="0" w:type="dxa"/>
            <w:right w:w="0" w:type="dxa"/>
          </w:tblCellMar>
        </w:tblPrEx>
        <w:trPr>
          <w:trHeight w:val="1133" w:hRule="exact"/>
          <w:jc w:val="center"/>
        </w:trPr>
        <w:tc>
          <w:tcPr>
            <w:tcW w:w="611"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8</w:t>
            </w:r>
          </w:p>
        </w:tc>
        <w:tc>
          <w:tcPr>
            <w:tcW w:w="5086"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left"/>
              <w:rPr>
                <w:rFonts w:asciiTheme="minorEastAsia" w:hAnsiTheme="minorEastAsia" w:cstheme="minorEastAsia"/>
                <w:sz w:val="24"/>
                <w:szCs w:val="24"/>
              </w:rPr>
            </w:pPr>
            <w:r>
              <w:rPr>
                <w:rFonts w:hint="eastAsia"/>
                <w:sz w:val="24"/>
                <w:lang w:eastAsia="zh-Hans"/>
              </w:rPr>
              <w:t>5.7.3.1文中“表</w:t>
            </w:r>
            <w:r>
              <w:rPr>
                <w:sz w:val="24"/>
                <w:lang w:eastAsia="zh-Hans"/>
              </w:rPr>
              <w:t>3</w:t>
            </w:r>
            <w:r>
              <w:rPr>
                <w:rFonts w:hint="eastAsia"/>
                <w:sz w:val="24"/>
                <w:lang w:eastAsia="zh-Hans"/>
              </w:rPr>
              <w:t>”应为“表</w:t>
            </w:r>
            <w:r>
              <w:rPr>
                <w:sz w:val="24"/>
                <w:lang w:eastAsia="zh-Hans"/>
              </w:rPr>
              <w:t>1</w:t>
            </w:r>
            <w:r>
              <w:rPr>
                <w:rFonts w:hint="eastAsia"/>
                <w:sz w:val="24"/>
                <w:lang w:eastAsia="zh-Hans"/>
              </w:rPr>
              <w:t>”</w:t>
            </w:r>
            <w:r>
              <w:rPr>
                <w:sz w:val="24"/>
                <w:lang w:eastAsia="zh-Hans"/>
              </w:rPr>
              <w:t>。</w:t>
            </w:r>
          </w:p>
        </w:tc>
        <w:tc>
          <w:tcPr>
            <w:tcW w:w="27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sz w:val="24"/>
                <w:szCs w:val="24"/>
                <w:lang w:eastAsia="zh-Hans"/>
              </w:rPr>
            </w:pPr>
            <w:r>
              <w:rPr>
                <w:rFonts w:hint="eastAsia" w:asciiTheme="minorEastAsia" w:hAnsiTheme="minorEastAsia" w:cstheme="minorEastAsia"/>
                <w:sz w:val="24"/>
                <w:szCs w:val="24"/>
                <w:lang w:eastAsia="zh-Hans"/>
              </w:rPr>
              <w:t>黑龙江爱农复合肥料有限公司</w:t>
            </w:r>
          </w:p>
        </w:tc>
        <w:tc>
          <w:tcPr>
            <w:tcW w:w="1229"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采纳</w:t>
            </w:r>
          </w:p>
        </w:tc>
        <w:tc>
          <w:tcPr>
            <w:tcW w:w="4488"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spacing w:line="250" w:lineRule="auto"/>
              <w:ind w:right="44"/>
              <w:rPr>
                <w:rFonts w:asciiTheme="minorEastAsia" w:hAnsiTheme="minorEastAsia" w:cstheme="minorEastAsia"/>
                <w:kern w:val="0"/>
                <w:sz w:val="24"/>
                <w:szCs w:val="24"/>
              </w:rPr>
            </w:pPr>
            <w:r>
              <w:rPr>
                <w:rFonts w:hint="eastAsia" w:asciiTheme="minorEastAsia" w:hAnsiTheme="minorEastAsia" w:cstheme="minorEastAsia"/>
                <w:kern w:val="0"/>
                <w:sz w:val="24"/>
                <w:szCs w:val="24"/>
              </w:rPr>
              <w:t>已做相应修改。</w:t>
            </w:r>
          </w:p>
        </w:tc>
      </w:tr>
      <w:tr>
        <w:tblPrEx>
          <w:tblCellMar>
            <w:top w:w="0" w:type="dxa"/>
            <w:left w:w="0" w:type="dxa"/>
            <w:bottom w:w="0" w:type="dxa"/>
            <w:right w:w="0" w:type="dxa"/>
          </w:tblCellMar>
        </w:tblPrEx>
        <w:trPr>
          <w:trHeight w:val="1057" w:hRule="exact"/>
          <w:jc w:val="center"/>
        </w:trPr>
        <w:tc>
          <w:tcPr>
            <w:tcW w:w="611"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9</w:t>
            </w:r>
          </w:p>
        </w:tc>
        <w:tc>
          <w:tcPr>
            <w:tcW w:w="5086"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left"/>
              <w:rPr>
                <w:sz w:val="24"/>
                <w:lang w:eastAsia="zh-Hans"/>
              </w:rPr>
            </w:pPr>
            <w:r>
              <w:rPr>
                <w:rFonts w:hint="eastAsia"/>
                <w:sz w:val="24"/>
                <w:lang w:eastAsia="zh-Hans"/>
              </w:rPr>
              <w:t>附录B中表编号“表A.1”应该为“表B.1”</w:t>
            </w:r>
          </w:p>
        </w:tc>
        <w:tc>
          <w:tcPr>
            <w:tcW w:w="271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sz w:val="24"/>
                <w:lang w:eastAsia="zh-Hans"/>
              </w:rPr>
            </w:pPr>
            <w:r>
              <w:rPr>
                <w:rFonts w:hint="eastAsia"/>
                <w:sz w:val="24"/>
                <w:lang w:eastAsia="zh-Hans"/>
              </w:rPr>
              <w:t>黑龙江爱农复合肥料有限公司</w:t>
            </w:r>
          </w:p>
        </w:tc>
        <w:tc>
          <w:tcPr>
            <w:tcW w:w="1229"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sz w:val="24"/>
                <w:lang w:eastAsia="zh-Hans"/>
              </w:rPr>
            </w:pPr>
            <w:r>
              <w:rPr>
                <w:rFonts w:hint="eastAsia"/>
                <w:sz w:val="24"/>
                <w:lang w:eastAsia="zh-Hans"/>
              </w:rPr>
              <w:t>采纳</w:t>
            </w:r>
          </w:p>
        </w:tc>
        <w:tc>
          <w:tcPr>
            <w:tcW w:w="4488"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left"/>
              <w:rPr>
                <w:sz w:val="24"/>
                <w:lang w:eastAsia="zh-Hans"/>
              </w:rPr>
            </w:pPr>
            <w:r>
              <w:rPr>
                <w:rFonts w:hint="eastAsia"/>
                <w:sz w:val="24"/>
                <w:lang w:eastAsia="zh-Hans"/>
              </w:rPr>
              <w:t>已修改。</w:t>
            </w:r>
          </w:p>
        </w:tc>
      </w:tr>
      <w:tr>
        <w:tblPrEx>
          <w:tblCellMar>
            <w:top w:w="0" w:type="dxa"/>
            <w:left w:w="0" w:type="dxa"/>
            <w:bottom w:w="0" w:type="dxa"/>
            <w:right w:w="0" w:type="dxa"/>
          </w:tblCellMar>
        </w:tblPrEx>
        <w:trPr>
          <w:trHeight w:val="1526" w:hRule="exact"/>
          <w:jc w:val="center"/>
        </w:trPr>
        <w:tc>
          <w:tcPr>
            <w:tcW w:w="611"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w:t>
            </w:r>
          </w:p>
        </w:tc>
        <w:tc>
          <w:tcPr>
            <w:tcW w:w="5086"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rPr>
                <w:rFonts w:asciiTheme="minorEastAsia" w:hAnsiTheme="minorEastAsia" w:cstheme="minorEastAsia"/>
                <w:sz w:val="24"/>
                <w:szCs w:val="24"/>
              </w:rPr>
            </w:pPr>
            <w:r>
              <w:rPr>
                <w:rFonts w:hint="eastAsia" w:asciiTheme="minorEastAsia" w:hAnsiTheme="minorEastAsia" w:cstheme="minorEastAsia"/>
                <w:sz w:val="24"/>
                <w:szCs w:val="24"/>
              </w:rPr>
              <w:t>工艺分类中修改为“转鼓造粒、熔体造粒、挤压造粒”（“转鼓造粒”即可包括各种“料浆法”的和“团粒法”的工艺装置）；若保留团粒法，就应增加“料浆法”。</w:t>
            </w:r>
          </w:p>
        </w:tc>
        <w:tc>
          <w:tcPr>
            <w:tcW w:w="27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sz w:val="24"/>
                <w:szCs w:val="24"/>
              </w:rPr>
            </w:pPr>
            <w:r>
              <w:rPr>
                <w:rFonts w:hint="eastAsia" w:asciiTheme="minorEastAsia" w:hAnsiTheme="minorEastAsia" w:cstheme="minorEastAsia"/>
                <w:sz w:val="24"/>
                <w:szCs w:val="24"/>
                <w:lang w:eastAsia="zh-Hans"/>
              </w:rPr>
              <w:t>中国磷复肥工业协会</w:t>
            </w:r>
          </w:p>
        </w:tc>
        <w:tc>
          <w:tcPr>
            <w:tcW w:w="1229"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采纳</w:t>
            </w:r>
          </w:p>
        </w:tc>
        <w:tc>
          <w:tcPr>
            <w:tcW w:w="4488"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spacing w:before="16"/>
              <w:rPr>
                <w:rFonts w:asciiTheme="minorEastAsia" w:hAnsiTheme="minorEastAsia" w:cstheme="minorEastAsia"/>
                <w:kern w:val="0"/>
                <w:sz w:val="24"/>
                <w:szCs w:val="24"/>
              </w:rPr>
            </w:pPr>
            <w:r>
              <w:rPr>
                <w:rFonts w:hint="eastAsia" w:asciiTheme="minorEastAsia" w:hAnsiTheme="minorEastAsia" w:cstheme="minorEastAsia"/>
                <w:kern w:val="0"/>
                <w:sz w:val="24"/>
                <w:szCs w:val="24"/>
              </w:rPr>
              <w:t>已调整未“团粒法、熔体法、挤压法”并进行了术语解释。</w:t>
            </w:r>
          </w:p>
        </w:tc>
      </w:tr>
      <w:tr>
        <w:tblPrEx>
          <w:tblCellMar>
            <w:top w:w="0" w:type="dxa"/>
            <w:left w:w="0" w:type="dxa"/>
            <w:bottom w:w="0" w:type="dxa"/>
            <w:right w:w="0" w:type="dxa"/>
          </w:tblCellMar>
        </w:tblPrEx>
        <w:trPr>
          <w:trHeight w:val="2642" w:hRule="exact"/>
          <w:jc w:val="center"/>
        </w:trPr>
        <w:tc>
          <w:tcPr>
            <w:tcW w:w="611"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11</w:t>
            </w:r>
          </w:p>
        </w:tc>
        <w:tc>
          <w:tcPr>
            <w:tcW w:w="5086" w:type="dxa"/>
            <w:tcBorders>
              <w:top w:val="single" w:color="000000" w:sz="4" w:space="0"/>
              <w:left w:val="single" w:color="000000" w:sz="4" w:space="0"/>
              <w:bottom w:val="single" w:color="000000" w:sz="4" w:space="0"/>
              <w:right w:val="single" w:color="000000" w:sz="4" w:space="0"/>
            </w:tcBorders>
            <w:vAlign w:val="center"/>
          </w:tcPr>
          <w:p>
            <w:pPr>
              <w:snapToGrid w:val="0"/>
              <w:rPr>
                <w:rFonts w:asciiTheme="minorEastAsia" w:hAnsiTheme="minorEastAsia" w:cstheme="minorEastAsia"/>
                <w:kern w:val="0"/>
                <w:position w:val="-1"/>
                <w:sz w:val="24"/>
                <w:szCs w:val="24"/>
              </w:rPr>
            </w:pPr>
            <w:r>
              <w:rPr>
                <w:rFonts w:hint="eastAsia" w:asciiTheme="minorEastAsia" w:hAnsiTheme="minorEastAsia" w:cstheme="minorEastAsia"/>
                <w:sz w:val="24"/>
                <w:szCs w:val="24"/>
              </w:rPr>
              <w:t>5.6.1.3复合肥料以前都是按GB16297工程设计的，而“颗粒物”这项指标在GB16297、GB 31573-2015中相差很大</w:t>
            </w:r>
            <w:r>
              <w:rPr>
                <w:rFonts w:hint="eastAsia" w:asciiTheme="minorEastAsia" w:hAnsiTheme="minorEastAsia" w:cstheme="minorEastAsia"/>
                <w:kern w:val="0"/>
                <w:position w:val="-1"/>
                <w:sz w:val="24"/>
                <w:szCs w:val="24"/>
              </w:rPr>
              <w:t>。</w:t>
            </w:r>
          </w:p>
          <w:p>
            <w:pPr>
              <w:snapToGrid w:val="0"/>
              <w:rPr>
                <w:rFonts w:asciiTheme="minorEastAsia" w:hAnsiTheme="minorEastAsia" w:cstheme="minorEastAsia"/>
                <w:sz w:val="24"/>
                <w:szCs w:val="24"/>
              </w:rPr>
            </w:pPr>
            <w:r>
              <w:rPr>
                <w:rFonts w:hint="eastAsia" w:asciiTheme="minorEastAsia" w:hAnsiTheme="minorEastAsia" w:cstheme="minorEastAsia"/>
                <w:sz w:val="24"/>
                <w:szCs w:val="24"/>
              </w:rPr>
              <w:t>建议：一是“指标”确定仍以参照GB16297标准为主，要求较大幅度提高是必要的。二是“大气污染物排放限值”，应通过组织调研掌握复合肥料行业大量的实际运行情况调研数据的基础上的确定。</w:t>
            </w:r>
          </w:p>
          <w:p>
            <w:pPr>
              <w:snapToGrid w:val="0"/>
              <w:ind w:firstLine="480" w:firstLineChars="200"/>
              <w:rPr>
                <w:rFonts w:asciiTheme="minorEastAsia" w:hAnsiTheme="minorEastAsia" w:cstheme="minorEastAsia"/>
                <w:kern w:val="0"/>
                <w:sz w:val="24"/>
                <w:szCs w:val="24"/>
              </w:rPr>
            </w:pPr>
          </w:p>
        </w:tc>
        <w:tc>
          <w:tcPr>
            <w:tcW w:w="27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sz w:val="24"/>
                <w:szCs w:val="24"/>
                <w:lang w:eastAsia="zh-Hans"/>
              </w:rPr>
            </w:pPr>
            <w:r>
              <w:rPr>
                <w:rFonts w:hint="eastAsia" w:asciiTheme="minorEastAsia" w:hAnsiTheme="minorEastAsia" w:cstheme="minorEastAsia"/>
                <w:sz w:val="24"/>
                <w:szCs w:val="24"/>
                <w:lang w:eastAsia="zh-Hans"/>
              </w:rPr>
              <w:t>中国磷复肥工业协会</w:t>
            </w:r>
          </w:p>
        </w:tc>
        <w:tc>
          <w:tcPr>
            <w:tcW w:w="1229"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采纳</w:t>
            </w:r>
          </w:p>
        </w:tc>
        <w:tc>
          <w:tcPr>
            <w:tcW w:w="4488"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spacing w:line="318" w:lineRule="exact"/>
              <w:rPr>
                <w:rFonts w:asciiTheme="minorEastAsia" w:hAnsiTheme="minorEastAsia" w:cstheme="minorEastAsia"/>
                <w:sz w:val="24"/>
                <w:szCs w:val="24"/>
              </w:rPr>
            </w:pPr>
            <w:r>
              <w:rPr>
                <w:rFonts w:hint="eastAsia" w:asciiTheme="minorEastAsia" w:hAnsiTheme="minorEastAsia" w:cstheme="minorEastAsia"/>
                <w:sz w:val="24"/>
                <w:szCs w:val="24"/>
              </w:rPr>
              <w:t>1.参照GB16297标准为主。</w:t>
            </w:r>
          </w:p>
          <w:p>
            <w:pPr>
              <w:autoSpaceDE w:val="0"/>
              <w:autoSpaceDN w:val="0"/>
              <w:snapToGrid w:val="0"/>
              <w:spacing w:before="16" w:line="250" w:lineRule="auto"/>
              <w:ind w:right="116"/>
              <w:rPr>
                <w:rFonts w:asciiTheme="minorEastAsia" w:hAnsiTheme="minorEastAsia" w:cstheme="minorEastAsia"/>
                <w:kern w:val="0"/>
                <w:sz w:val="24"/>
                <w:szCs w:val="24"/>
              </w:rPr>
            </w:pPr>
            <w:r>
              <w:rPr>
                <w:rFonts w:hint="eastAsia" w:asciiTheme="minorEastAsia" w:hAnsiTheme="minorEastAsia" w:cstheme="minorEastAsia"/>
                <w:spacing w:val="2"/>
                <w:kern w:val="0"/>
                <w:position w:val="-1"/>
                <w:sz w:val="24"/>
                <w:szCs w:val="24"/>
              </w:rPr>
              <w:t>2.继续调研复合肥料行业实际运行数据，确保最终指标数值的科学性、可靠性、准确性。</w:t>
            </w:r>
          </w:p>
        </w:tc>
      </w:tr>
      <w:tr>
        <w:tblPrEx>
          <w:tblCellMar>
            <w:top w:w="0" w:type="dxa"/>
            <w:left w:w="0" w:type="dxa"/>
            <w:bottom w:w="0" w:type="dxa"/>
            <w:right w:w="0" w:type="dxa"/>
          </w:tblCellMar>
        </w:tblPrEx>
        <w:trPr>
          <w:trHeight w:val="2462" w:hRule="exact"/>
          <w:jc w:val="center"/>
        </w:trPr>
        <w:tc>
          <w:tcPr>
            <w:tcW w:w="611"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12</w:t>
            </w:r>
          </w:p>
        </w:tc>
        <w:tc>
          <w:tcPr>
            <w:tcW w:w="5086" w:type="dxa"/>
            <w:tcBorders>
              <w:top w:val="single" w:color="000000" w:sz="4" w:space="0"/>
              <w:left w:val="single" w:color="000000" w:sz="4" w:space="0"/>
              <w:bottom w:val="single" w:color="000000" w:sz="4" w:space="0"/>
              <w:right w:val="single" w:color="000000" w:sz="4" w:space="0"/>
            </w:tcBorders>
            <w:vAlign w:val="center"/>
          </w:tcPr>
          <w:p>
            <w:pPr>
              <w:pStyle w:val="10"/>
              <w:tabs>
                <w:tab w:val="left" w:pos="180"/>
              </w:tabs>
              <w:ind w:firstLine="0" w:firstLineChars="0"/>
              <w:rPr>
                <w:rFonts w:asciiTheme="minorEastAsia" w:hAnsiTheme="minorEastAsia" w:cstheme="minorEastAsia"/>
                <w:sz w:val="24"/>
                <w:szCs w:val="24"/>
              </w:rPr>
            </w:pPr>
            <w:r>
              <w:rPr>
                <w:rFonts w:hint="eastAsia" w:asciiTheme="minorEastAsia" w:hAnsiTheme="minorEastAsia" w:cstheme="minorEastAsia"/>
                <w:sz w:val="24"/>
                <w:szCs w:val="24"/>
              </w:rPr>
              <w:t>本文件适用于复合肥料（包括冠以各种名称的以氮、磷、钾为基础养分的三元或二元固体肥料）生产企业的绿色工厂评价，本文件不适用于磷酸一铵、磷酸二铵等复合肥料产品生产企业的绿色工厂评价。</w:t>
            </w:r>
          </w:p>
          <w:p>
            <w:pPr>
              <w:pStyle w:val="10"/>
              <w:tabs>
                <w:tab w:val="left" w:pos="180"/>
              </w:tabs>
              <w:ind w:firstLine="0" w:firstLineChars="0"/>
              <w:rPr>
                <w:rFonts w:asciiTheme="minorEastAsia" w:hAnsiTheme="minorEastAsia" w:cstheme="minorEastAsia"/>
                <w:sz w:val="24"/>
                <w:szCs w:val="24"/>
              </w:rPr>
            </w:pPr>
            <w:r>
              <w:rPr>
                <w:rFonts w:hint="eastAsia" w:asciiTheme="minorEastAsia" w:hAnsiTheme="minorEastAsia" w:cstheme="minorEastAsia"/>
                <w:sz w:val="24"/>
                <w:szCs w:val="24"/>
              </w:rPr>
              <w:t>建议：等复合肥料产品，应修改为“等产品”（否则与括号中的解释相矛盾）。</w:t>
            </w:r>
          </w:p>
          <w:p>
            <w:pPr>
              <w:snapToGrid w:val="0"/>
              <w:ind w:firstLine="480" w:firstLineChars="200"/>
              <w:rPr>
                <w:rFonts w:asciiTheme="minorEastAsia" w:hAnsiTheme="minorEastAsia" w:cstheme="minorEastAsia"/>
                <w:kern w:val="0"/>
                <w:sz w:val="24"/>
                <w:szCs w:val="24"/>
              </w:rPr>
            </w:pPr>
          </w:p>
        </w:tc>
        <w:tc>
          <w:tcPr>
            <w:tcW w:w="27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sz w:val="24"/>
                <w:szCs w:val="24"/>
                <w:lang w:eastAsia="zh-Hans"/>
              </w:rPr>
            </w:pPr>
            <w:r>
              <w:rPr>
                <w:rFonts w:hint="eastAsia" w:asciiTheme="minorEastAsia" w:hAnsiTheme="minorEastAsia" w:cstheme="minorEastAsia"/>
                <w:sz w:val="24"/>
                <w:szCs w:val="24"/>
                <w:lang w:eastAsia="zh-Hans"/>
              </w:rPr>
              <w:t>中国磷复肥工业协会</w:t>
            </w:r>
          </w:p>
        </w:tc>
        <w:tc>
          <w:tcPr>
            <w:tcW w:w="1229"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未采纳</w:t>
            </w:r>
          </w:p>
        </w:tc>
        <w:tc>
          <w:tcPr>
            <w:tcW w:w="4488"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rPr>
                <w:rFonts w:asciiTheme="minorEastAsia" w:hAnsiTheme="minorEastAsia" w:cstheme="minorEastAsia"/>
                <w:kern w:val="0"/>
                <w:sz w:val="24"/>
                <w:szCs w:val="24"/>
              </w:rPr>
            </w:pPr>
            <w:r>
              <w:rPr>
                <w:rFonts w:hint="eastAsia" w:asciiTheme="minorEastAsia" w:hAnsiTheme="minorEastAsia" w:cstheme="minorEastAsia"/>
                <w:sz w:val="24"/>
                <w:szCs w:val="24"/>
              </w:rPr>
              <w:t>“复合肥料”概念已经引用GB/T 15063标准中的概念</w:t>
            </w:r>
          </w:p>
        </w:tc>
      </w:tr>
      <w:tr>
        <w:tblPrEx>
          <w:tblCellMar>
            <w:top w:w="0" w:type="dxa"/>
            <w:left w:w="0" w:type="dxa"/>
            <w:bottom w:w="0" w:type="dxa"/>
            <w:right w:w="0" w:type="dxa"/>
          </w:tblCellMar>
        </w:tblPrEx>
        <w:trPr>
          <w:trHeight w:val="3810" w:hRule="exact"/>
          <w:jc w:val="center"/>
        </w:trPr>
        <w:tc>
          <w:tcPr>
            <w:tcW w:w="611"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13</w:t>
            </w:r>
          </w:p>
        </w:tc>
        <w:tc>
          <w:tcPr>
            <w:tcW w:w="5086" w:type="dxa"/>
            <w:tcBorders>
              <w:top w:val="single" w:color="000000" w:sz="4" w:space="0"/>
              <w:left w:val="single" w:color="000000" w:sz="4" w:space="0"/>
              <w:bottom w:val="single" w:color="000000" w:sz="4" w:space="0"/>
              <w:right w:val="single" w:color="000000" w:sz="4" w:space="0"/>
            </w:tcBorders>
            <w:vAlign w:val="center"/>
          </w:tcPr>
          <w:p>
            <w:pPr>
              <w:rPr>
                <w:rFonts w:asciiTheme="minorEastAsia" w:hAnsiTheme="minorEastAsia" w:cstheme="minorEastAsia"/>
                <w:sz w:val="24"/>
                <w:szCs w:val="24"/>
              </w:rPr>
            </w:pPr>
            <w:r>
              <w:rPr>
                <w:rFonts w:hint="eastAsia" w:asciiTheme="minorEastAsia" w:hAnsiTheme="minorEastAsia" w:cstheme="minorEastAsia"/>
                <w:sz w:val="24"/>
                <w:szCs w:val="24"/>
              </w:rPr>
              <w:t>4.1总则中复合肥料行业绿色工厂（以下简称工厂）应保证复合肥料产品功能、质量以及制造过程中人的职业健康安全的前提下，引入生命周期思想，优先选用绿色工艺、技术和设备，满足基础设施、管理体系、能源与资源投入、产品、环境排放、环境绩效等各方面评价要求，并进行持续改进，最终实现用地集约化、原料无害化、生产洁净化、废物资源化、能源低碳化。</w:t>
            </w:r>
          </w:p>
          <w:p>
            <w:pPr>
              <w:rPr>
                <w:rFonts w:asciiTheme="minorEastAsia" w:hAnsiTheme="minorEastAsia" w:cstheme="minorEastAsia"/>
                <w:sz w:val="24"/>
                <w:szCs w:val="24"/>
              </w:rPr>
            </w:pPr>
            <w:r>
              <w:rPr>
                <w:rFonts w:hint="eastAsia" w:asciiTheme="minorEastAsia" w:hAnsiTheme="minorEastAsia" w:cstheme="minorEastAsia"/>
                <w:sz w:val="24"/>
                <w:szCs w:val="24"/>
              </w:rPr>
              <w:t>建议：一是“功能、”和“最终”可以删除；      二是技术和设备，应修改为“先进的技术装备”。</w:t>
            </w:r>
          </w:p>
          <w:p>
            <w:pPr>
              <w:snapToGrid w:val="0"/>
              <w:ind w:firstLine="480" w:firstLineChars="200"/>
              <w:rPr>
                <w:rFonts w:asciiTheme="minorEastAsia" w:hAnsiTheme="minorEastAsia" w:cstheme="minorEastAsia"/>
                <w:kern w:val="0"/>
                <w:sz w:val="24"/>
                <w:szCs w:val="24"/>
              </w:rPr>
            </w:pPr>
          </w:p>
        </w:tc>
        <w:tc>
          <w:tcPr>
            <w:tcW w:w="27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sz w:val="24"/>
                <w:szCs w:val="24"/>
                <w:lang w:eastAsia="zh-Hans"/>
              </w:rPr>
            </w:pPr>
            <w:r>
              <w:rPr>
                <w:rFonts w:hint="eastAsia" w:asciiTheme="minorEastAsia" w:hAnsiTheme="minorEastAsia" w:cstheme="minorEastAsia"/>
                <w:sz w:val="24"/>
                <w:szCs w:val="24"/>
                <w:lang w:eastAsia="zh-Hans"/>
              </w:rPr>
              <w:t>中国磷复肥工业协会</w:t>
            </w:r>
          </w:p>
        </w:tc>
        <w:tc>
          <w:tcPr>
            <w:tcW w:w="1229"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采纳</w:t>
            </w:r>
          </w:p>
        </w:tc>
        <w:tc>
          <w:tcPr>
            <w:tcW w:w="4488"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rPr>
                <w:rFonts w:asciiTheme="minorEastAsia" w:hAnsiTheme="minorEastAsia" w:cstheme="minorEastAsia"/>
                <w:sz w:val="24"/>
                <w:szCs w:val="24"/>
              </w:rPr>
            </w:pPr>
            <w:r>
              <w:rPr>
                <w:rFonts w:hint="eastAsia" w:asciiTheme="minorEastAsia" w:hAnsiTheme="minorEastAsia" w:cstheme="minorEastAsia"/>
                <w:kern w:val="0"/>
                <w:sz w:val="24"/>
                <w:szCs w:val="24"/>
              </w:rPr>
              <w:t>已做文字调整</w:t>
            </w:r>
          </w:p>
        </w:tc>
      </w:tr>
      <w:tr>
        <w:tblPrEx>
          <w:tblCellMar>
            <w:top w:w="0" w:type="dxa"/>
            <w:left w:w="0" w:type="dxa"/>
            <w:bottom w:w="0" w:type="dxa"/>
            <w:right w:w="0" w:type="dxa"/>
          </w:tblCellMar>
        </w:tblPrEx>
        <w:trPr>
          <w:trHeight w:val="1922" w:hRule="exact"/>
          <w:jc w:val="center"/>
        </w:trPr>
        <w:tc>
          <w:tcPr>
            <w:tcW w:w="611"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14</w:t>
            </w:r>
          </w:p>
        </w:tc>
        <w:tc>
          <w:tcPr>
            <w:tcW w:w="5086" w:type="dxa"/>
            <w:tcBorders>
              <w:top w:val="single" w:color="000000" w:sz="4" w:space="0"/>
              <w:left w:val="single" w:color="000000" w:sz="4" w:space="0"/>
              <w:bottom w:val="single" w:color="000000" w:sz="4" w:space="0"/>
              <w:right w:val="single" w:color="000000" w:sz="4" w:space="0"/>
            </w:tcBorders>
            <w:vAlign w:val="center"/>
          </w:tcPr>
          <w:p>
            <w:pPr>
              <w:pStyle w:val="10"/>
              <w:tabs>
                <w:tab w:val="left" w:pos="180"/>
              </w:tabs>
              <w:ind w:firstLine="0" w:firstLineChars="0"/>
              <w:rPr>
                <w:rFonts w:asciiTheme="minorEastAsia" w:hAnsiTheme="minorEastAsia" w:cstheme="minorEastAsia"/>
                <w:sz w:val="24"/>
                <w:szCs w:val="24"/>
                <w:lang w:eastAsia="zh-Hans"/>
              </w:rPr>
            </w:pPr>
            <w:r>
              <w:rPr>
                <w:rFonts w:hint="eastAsia" w:asciiTheme="minorEastAsia" w:hAnsiTheme="minorEastAsia" w:cstheme="minorEastAsia"/>
                <w:sz w:val="24"/>
                <w:szCs w:val="24"/>
                <w:lang w:eastAsia="zh-Hans"/>
              </w:rPr>
              <w:t>5.2.6.5应将环保设施与生产装置同等管理，同时运行、同步维护，环保设施运行控制参数纳入生产操作规程和工艺卡片。</w:t>
            </w:r>
          </w:p>
          <w:p>
            <w:pPr>
              <w:autoSpaceDE w:val="0"/>
              <w:autoSpaceDN w:val="0"/>
              <w:adjustRightInd w:val="0"/>
              <w:rPr>
                <w:rFonts w:asciiTheme="minorEastAsia" w:hAnsiTheme="minorEastAsia" w:cstheme="minorEastAsia"/>
                <w:kern w:val="0"/>
                <w:sz w:val="24"/>
                <w:szCs w:val="24"/>
              </w:rPr>
            </w:pPr>
            <w:r>
              <w:rPr>
                <w:rFonts w:hint="eastAsia" w:asciiTheme="minorEastAsia" w:hAnsiTheme="minorEastAsia" w:cstheme="minorEastAsia"/>
                <w:sz w:val="24"/>
                <w:szCs w:val="24"/>
                <w:lang w:eastAsia="zh-Hans"/>
              </w:rPr>
              <w:t>建议：卡片，应修改为“记录”（习惯上，磷复肥生产及技术管理中，工艺管理通常是没有“卡片”的，强化的主要是原始记录）。</w:t>
            </w:r>
          </w:p>
        </w:tc>
        <w:tc>
          <w:tcPr>
            <w:tcW w:w="27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6"/>
              <w:jc w:val="center"/>
              <w:rPr>
                <w:rFonts w:asciiTheme="minorEastAsia" w:hAnsiTheme="minorEastAsia" w:cstheme="minorEastAsia"/>
                <w:sz w:val="24"/>
                <w:szCs w:val="24"/>
                <w:lang w:eastAsia="zh-Hans"/>
              </w:rPr>
            </w:pPr>
            <w:r>
              <w:rPr>
                <w:rFonts w:hint="eastAsia" w:asciiTheme="minorEastAsia" w:hAnsiTheme="minorEastAsia" w:cstheme="minorEastAsia"/>
                <w:sz w:val="24"/>
                <w:szCs w:val="24"/>
                <w:lang w:eastAsia="zh-Hans"/>
              </w:rPr>
              <w:t>中国磷复肥工业协会</w:t>
            </w:r>
          </w:p>
        </w:tc>
        <w:tc>
          <w:tcPr>
            <w:tcW w:w="1229"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采纳</w:t>
            </w:r>
          </w:p>
        </w:tc>
        <w:tc>
          <w:tcPr>
            <w:tcW w:w="4488"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7" w:line="140" w:lineRule="exact"/>
              <w:rPr>
                <w:rFonts w:asciiTheme="minorEastAsia" w:hAnsiTheme="minorEastAsia" w:cstheme="minorEastAsia"/>
                <w:kern w:val="0"/>
                <w:sz w:val="24"/>
                <w:szCs w:val="24"/>
              </w:rPr>
            </w:pPr>
          </w:p>
          <w:p>
            <w:pPr>
              <w:autoSpaceDE w:val="0"/>
              <w:autoSpaceDN w:val="0"/>
              <w:adjustRightInd w:val="0"/>
              <w:ind w:left="102"/>
              <w:rPr>
                <w:rFonts w:asciiTheme="minorEastAsia" w:hAnsiTheme="minorEastAsia" w:cstheme="minorEastAsia"/>
                <w:kern w:val="0"/>
                <w:sz w:val="24"/>
                <w:szCs w:val="24"/>
              </w:rPr>
            </w:pPr>
            <w:r>
              <w:rPr>
                <w:rFonts w:hint="eastAsia" w:asciiTheme="minorEastAsia" w:hAnsiTheme="minorEastAsia" w:cstheme="minorEastAsia"/>
                <w:kern w:val="0"/>
                <w:sz w:val="24"/>
                <w:szCs w:val="24"/>
              </w:rPr>
              <w:t>已将“卡片”改为“记录”。</w:t>
            </w:r>
          </w:p>
        </w:tc>
      </w:tr>
      <w:tr>
        <w:tblPrEx>
          <w:tblCellMar>
            <w:top w:w="0" w:type="dxa"/>
            <w:left w:w="0" w:type="dxa"/>
            <w:bottom w:w="0" w:type="dxa"/>
            <w:right w:w="0" w:type="dxa"/>
          </w:tblCellMar>
        </w:tblPrEx>
        <w:trPr>
          <w:trHeight w:val="1170" w:hRule="exact"/>
          <w:jc w:val="center"/>
        </w:trPr>
        <w:tc>
          <w:tcPr>
            <w:tcW w:w="611"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15</w:t>
            </w:r>
          </w:p>
        </w:tc>
        <w:tc>
          <w:tcPr>
            <w:tcW w:w="5086" w:type="dxa"/>
            <w:tcBorders>
              <w:top w:val="single" w:color="000000" w:sz="4" w:space="0"/>
              <w:left w:val="single" w:color="000000" w:sz="4" w:space="0"/>
              <w:bottom w:val="single" w:color="000000" w:sz="4" w:space="0"/>
              <w:right w:val="single" w:color="000000" w:sz="4" w:space="0"/>
            </w:tcBorders>
            <w:vAlign w:val="center"/>
          </w:tcPr>
          <w:p>
            <w:pPr>
              <w:pStyle w:val="10"/>
              <w:tabs>
                <w:tab w:val="left" w:pos="180"/>
              </w:tabs>
              <w:ind w:firstLine="0" w:firstLineChars="0"/>
              <w:rPr>
                <w:rFonts w:asciiTheme="minorEastAsia" w:hAnsiTheme="minorEastAsia" w:cstheme="minorEastAsia"/>
                <w:sz w:val="24"/>
                <w:szCs w:val="24"/>
                <w:lang w:eastAsia="zh-Hans"/>
              </w:rPr>
            </w:pPr>
            <w:r>
              <w:rPr>
                <w:rFonts w:hint="eastAsia" w:asciiTheme="minorEastAsia" w:hAnsiTheme="minorEastAsia" w:cstheme="minorEastAsia"/>
                <w:sz w:val="24"/>
                <w:szCs w:val="24"/>
                <w:lang w:eastAsia="zh-Hans"/>
              </w:rPr>
              <w:t>5.4.1.8应对系统中有回收价值的余热余压进行回收利用。</w:t>
            </w:r>
          </w:p>
          <w:p>
            <w:pPr>
              <w:pStyle w:val="10"/>
              <w:tabs>
                <w:tab w:val="left" w:pos="180"/>
              </w:tabs>
              <w:ind w:firstLine="0" w:firstLineChars="0"/>
              <w:rPr>
                <w:rFonts w:asciiTheme="minorEastAsia" w:hAnsiTheme="minorEastAsia" w:cstheme="minorEastAsia"/>
                <w:kern w:val="0"/>
                <w:sz w:val="24"/>
                <w:szCs w:val="24"/>
              </w:rPr>
            </w:pPr>
            <w:r>
              <w:rPr>
                <w:rFonts w:hint="eastAsia" w:asciiTheme="minorEastAsia" w:hAnsiTheme="minorEastAsia" w:cstheme="minorEastAsia"/>
                <w:sz w:val="24"/>
                <w:szCs w:val="24"/>
                <w:lang w:eastAsia="zh-Hans"/>
              </w:rPr>
              <w:t>建议：余压，应修改为“等能源”。</w:t>
            </w:r>
          </w:p>
        </w:tc>
        <w:tc>
          <w:tcPr>
            <w:tcW w:w="27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4" w:line="130" w:lineRule="exact"/>
              <w:jc w:val="center"/>
              <w:rPr>
                <w:rFonts w:asciiTheme="minorEastAsia" w:hAnsiTheme="minorEastAsia" w:cstheme="minorEastAsia"/>
                <w:kern w:val="0"/>
                <w:sz w:val="24"/>
                <w:szCs w:val="24"/>
              </w:rPr>
            </w:pPr>
          </w:p>
          <w:p>
            <w:pPr>
              <w:autoSpaceDE w:val="0"/>
              <w:autoSpaceDN w:val="0"/>
              <w:adjustRightInd w:val="0"/>
              <w:jc w:val="center"/>
              <w:rPr>
                <w:rFonts w:asciiTheme="minorEastAsia" w:hAnsiTheme="minorEastAsia" w:cstheme="minorEastAsia"/>
                <w:sz w:val="24"/>
                <w:szCs w:val="24"/>
                <w:lang w:eastAsia="zh-Hans"/>
              </w:rPr>
            </w:pPr>
            <w:r>
              <w:rPr>
                <w:rFonts w:hint="eastAsia" w:asciiTheme="minorEastAsia" w:hAnsiTheme="minorEastAsia" w:cstheme="minorEastAsia"/>
                <w:sz w:val="24"/>
                <w:szCs w:val="24"/>
                <w:lang w:eastAsia="zh-Hans"/>
              </w:rPr>
              <w:t>中国磷复肥工业协会</w:t>
            </w:r>
          </w:p>
        </w:tc>
        <w:tc>
          <w:tcPr>
            <w:tcW w:w="1229"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采纳</w:t>
            </w:r>
          </w:p>
        </w:tc>
        <w:tc>
          <w:tcPr>
            <w:tcW w:w="4488"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7" w:line="140" w:lineRule="exact"/>
              <w:rPr>
                <w:rFonts w:asciiTheme="minorEastAsia" w:hAnsiTheme="minorEastAsia" w:cstheme="minorEastAsia"/>
                <w:kern w:val="0"/>
                <w:sz w:val="24"/>
                <w:szCs w:val="24"/>
              </w:rPr>
            </w:pPr>
          </w:p>
          <w:p>
            <w:pPr>
              <w:autoSpaceDE w:val="0"/>
              <w:autoSpaceDN w:val="0"/>
              <w:adjustRightInd w:val="0"/>
              <w:spacing w:line="250" w:lineRule="auto"/>
              <w:ind w:left="102" w:right="44"/>
              <w:rPr>
                <w:rFonts w:asciiTheme="minorEastAsia" w:hAnsiTheme="minorEastAsia" w:cstheme="minorEastAsia"/>
                <w:kern w:val="0"/>
                <w:sz w:val="24"/>
                <w:szCs w:val="24"/>
              </w:rPr>
            </w:pPr>
            <w:r>
              <w:rPr>
                <w:rFonts w:hint="eastAsia" w:asciiTheme="minorEastAsia" w:hAnsiTheme="minorEastAsia" w:cstheme="minorEastAsia"/>
                <w:spacing w:val="2"/>
                <w:kern w:val="0"/>
                <w:sz w:val="24"/>
                <w:szCs w:val="24"/>
              </w:rPr>
              <w:t>已修改。</w:t>
            </w:r>
          </w:p>
        </w:tc>
      </w:tr>
      <w:tr>
        <w:tblPrEx>
          <w:tblCellMar>
            <w:top w:w="0" w:type="dxa"/>
            <w:left w:w="0" w:type="dxa"/>
            <w:bottom w:w="0" w:type="dxa"/>
            <w:right w:w="0" w:type="dxa"/>
          </w:tblCellMar>
        </w:tblPrEx>
        <w:trPr>
          <w:trHeight w:val="1538" w:hRule="exact"/>
          <w:jc w:val="center"/>
        </w:trPr>
        <w:tc>
          <w:tcPr>
            <w:tcW w:w="611"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16</w:t>
            </w:r>
          </w:p>
        </w:tc>
        <w:tc>
          <w:tcPr>
            <w:tcW w:w="5086" w:type="dxa"/>
            <w:tcBorders>
              <w:top w:val="single" w:color="000000" w:sz="4" w:space="0"/>
              <w:left w:val="single" w:color="000000" w:sz="4" w:space="0"/>
              <w:bottom w:val="single" w:color="000000" w:sz="4" w:space="0"/>
              <w:right w:val="single" w:color="000000" w:sz="4" w:space="0"/>
            </w:tcBorders>
            <w:vAlign w:val="center"/>
          </w:tcPr>
          <w:p>
            <w:pPr>
              <w:pStyle w:val="10"/>
              <w:tabs>
                <w:tab w:val="left" w:pos="180"/>
              </w:tabs>
              <w:adjustRightInd w:val="0"/>
              <w:snapToGrid w:val="0"/>
              <w:ind w:firstLine="0" w:firstLineChars="0"/>
              <w:rPr>
                <w:rFonts w:asciiTheme="minorEastAsia" w:hAnsiTheme="minorEastAsia" w:cstheme="minorEastAsia"/>
                <w:sz w:val="24"/>
                <w:szCs w:val="24"/>
                <w:lang w:eastAsia="zh-Hans"/>
              </w:rPr>
            </w:pPr>
            <w:r>
              <w:rPr>
                <w:rFonts w:hint="eastAsia" w:asciiTheme="minorEastAsia" w:hAnsiTheme="minorEastAsia" w:cstheme="minorEastAsia"/>
                <w:sz w:val="24"/>
                <w:szCs w:val="24"/>
                <w:lang w:eastAsia="zh-Hans"/>
              </w:rPr>
              <w:t>5.6.3.4 固体废物应在厂区处理处置，综合利用，利用处置过程应防止二</w:t>
            </w:r>
          </w:p>
          <w:p>
            <w:pPr>
              <w:tabs>
                <w:tab w:val="left" w:pos="180"/>
              </w:tabs>
              <w:adjustRightInd w:val="0"/>
              <w:snapToGrid w:val="0"/>
              <w:rPr>
                <w:rFonts w:asciiTheme="minorEastAsia" w:hAnsiTheme="minorEastAsia" w:cstheme="minorEastAsia"/>
                <w:sz w:val="24"/>
                <w:szCs w:val="24"/>
                <w:lang w:eastAsia="zh-Hans"/>
              </w:rPr>
            </w:pPr>
            <w:r>
              <w:rPr>
                <w:rFonts w:hint="eastAsia" w:asciiTheme="minorEastAsia" w:hAnsiTheme="minorEastAsia" w:cstheme="minorEastAsia"/>
                <w:sz w:val="24"/>
                <w:szCs w:val="24"/>
                <w:lang w:eastAsia="zh-Hans"/>
              </w:rPr>
              <w:t>次污染。</w:t>
            </w:r>
          </w:p>
          <w:p>
            <w:pPr>
              <w:autoSpaceDE w:val="0"/>
              <w:autoSpaceDN w:val="0"/>
              <w:adjustRightInd w:val="0"/>
              <w:snapToGrid w:val="0"/>
              <w:rPr>
                <w:rFonts w:asciiTheme="minorEastAsia" w:hAnsiTheme="minorEastAsia" w:cstheme="minorEastAsia"/>
                <w:kern w:val="0"/>
                <w:sz w:val="24"/>
                <w:szCs w:val="24"/>
              </w:rPr>
            </w:pPr>
            <w:r>
              <w:rPr>
                <w:rFonts w:hint="eastAsia" w:asciiTheme="minorEastAsia" w:hAnsiTheme="minorEastAsia" w:cstheme="minorEastAsia"/>
                <w:sz w:val="24"/>
                <w:szCs w:val="24"/>
                <w:lang w:eastAsia="zh-Hans"/>
              </w:rPr>
              <w:t>建议：在厂区，应修改为“就地”。</w:t>
            </w:r>
          </w:p>
        </w:tc>
        <w:tc>
          <w:tcPr>
            <w:tcW w:w="27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heme="minorEastAsia" w:hAnsiTheme="minorEastAsia" w:cstheme="minorEastAsia"/>
                <w:sz w:val="24"/>
                <w:szCs w:val="24"/>
                <w:lang w:eastAsia="zh-Hans"/>
              </w:rPr>
            </w:pPr>
            <w:r>
              <w:rPr>
                <w:rFonts w:hint="eastAsia" w:asciiTheme="minorEastAsia" w:hAnsiTheme="minorEastAsia" w:cstheme="minorEastAsia"/>
                <w:sz w:val="24"/>
                <w:szCs w:val="24"/>
                <w:lang w:eastAsia="zh-Hans"/>
              </w:rPr>
              <w:t>中国磷复肥工业协会</w:t>
            </w:r>
          </w:p>
        </w:tc>
        <w:tc>
          <w:tcPr>
            <w:tcW w:w="1229"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采纳</w:t>
            </w:r>
          </w:p>
        </w:tc>
        <w:tc>
          <w:tcPr>
            <w:tcW w:w="4488"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pacing w:before="16"/>
              <w:ind w:left="102"/>
              <w:rPr>
                <w:rFonts w:asciiTheme="minorEastAsia" w:hAnsiTheme="minorEastAsia" w:cstheme="minorEastAsia"/>
                <w:kern w:val="0"/>
                <w:sz w:val="24"/>
                <w:szCs w:val="24"/>
              </w:rPr>
            </w:pPr>
            <w:r>
              <w:rPr>
                <w:rFonts w:hint="eastAsia" w:asciiTheme="minorEastAsia" w:hAnsiTheme="minorEastAsia" w:cstheme="minorEastAsia"/>
                <w:kern w:val="0"/>
                <w:sz w:val="24"/>
                <w:szCs w:val="24"/>
              </w:rPr>
              <w:t>已做文字修改</w:t>
            </w:r>
          </w:p>
        </w:tc>
      </w:tr>
      <w:tr>
        <w:tblPrEx>
          <w:tblCellMar>
            <w:top w:w="0" w:type="dxa"/>
            <w:left w:w="0" w:type="dxa"/>
            <w:bottom w:w="0" w:type="dxa"/>
            <w:right w:w="0" w:type="dxa"/>
          </w:tblCellMar>
        </w:tblPrEx>
        <w:trPr>
          <w:trHeight w:val="994" w:hRule="exact"/>
          <w:jc w:val="center"/>
        </w:trPr>
        <w:tc>
          <w:tcPr>
            <w:tcW w:w="611"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17</w:t>
            </w:r>
          </w:p>
        </w:tc>
        <w:tc>
          <w:tcPr>
            <w:tcW w:w="5086"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rPr>
                <w:rFonts w:asciiTheme="minorEastAsia" w:hAnsiTheme="minorEastAsia" w:cstheme="minorEastAsia"/>
                <w:kern w:val="0"/>
                <w:sz w:val="24"/>
                <w:szCs w:val="24"/>
              </w:rPr>
            </w:pPr>
            <w:r>
              <w:rPr>
                <w:rFonts w:hint="eastAsia" w:asciiTheme="minorEastAsia" w:hAnsiTheme="minorEastAsia" w:cstheme="minorEastAsia"/>
                <w:sz w:val="24"/>
                <w:szCs w:val="24"/>
              </w:rPr>
              <w:t>根据逻辑顺序，建议将“但当前行业中，不同的复合肥料企业生产时消耗大量的能量，由于我国复合肥料行业的生产企业数量众多、基数较大”改成“由于我国复合肥料行业的生产企业数量众多、基数较大，不同的复合肥料企业生产过程消耗大量能量”。</w:t>
            </w:r>
          </w:p>
        </w:tc>
        <w:tc>
          <w:tcPr>
            <w:tcW w:w="27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sz w:val="24"/>
                <w:szCs w:val="24"/>
                <w:lang w:eastAsia="zh-Hans"/>
              </w:rPr>
            </w:pPr>
            <w:r>
              <w:rPr>
                <w:rFonts w:hint="eastAsia" w:asciiTheme="minorEastAsia" w:hAnsiTheme="minorEastAsia" w:cstheme="minorEastAsia"/>
                <w:sz w:val="24"/>
                <w:szCs w:val="24"/>
                <w:lang w:eastAsia="zh-Hans"/>
              </w:rPr>
              <w:t>史丹利农业集团股份有限公司</w:t>
            </w:r>
          </w:p>
        </w:tc>
        <w:tc>
          <w:tcPr>
            <w:tcW w:w="1229"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采纳</w:t>
            </w:r>
          </w:p>
        </w:tc>
        <w:tc>
          <w:tcPr>
            <w:tcW w:w="4488" w:type="dxa"/>
            <w:tcBorders>
              <w:top w:val="single" w:color="000000" w:sz="4" w:space="0"/>
              <w:left w:val="single" w:color="000000" w:sz="4" w:space="0"/>
              <w:bottom w:val="single" w:color="000000" w:sz="4" w:space="0"/>
              <w:right w:val="single" w:color="000000" w:sz="4" w:space="0"/>
            </w:tcBorders>
            <w:vAlign w:val="center"/>
          </w:tcPr>
          <w:p>
            <w:pPr>
              <w:tabs>
                <w:tab w:val="left" w:pos="1240"/>
              </w:tabs>
              <w:autoSpaceDE w:val="0"/>
              <w:autoSpaceDN w:val="0"/>
              <w:snapToGrid w:val="0"/>
              <w:spacing w:before="16"/>
              <w:rPr>
                <w:rFonts w:asciiTheme="minorEastAsia" w:hAnsiTheme="minorEastAsia" w:cstheme="minorEastAsia"/>
                <w:kern w:val="0"/>
                <w:sz w:val="24"/>
                <w:szCs w:val="24"/>
              </w:rPr>
            </w:pPr>
            <w:r>
              <w:rPr>
                <w:rFonts w:hint="eastAsia" w:asciiTheme="minorEastAsia" w:hAnsiTheme="minorEastAsia" w:cstheme="minorEastAsia"/>
                <w:sz w:val="24"/>
                <w:szCs w:val="24"/>
              </w:rPr>
              <w:t>改为“由于我国复合肥料行业的生产企业数量众多、基数较大，不同的复合肥料企业生产过程会消耗大量的能量,”</w:t>
            </w:r>
          </w:p>
        </w:tc>
      </w:tr>
      <w:tr>
        <w:tblPrEx>
          <w:tblCellMar>
            <w:top w:w="0" w:type="dxa"/>
            <w:left w:w="0" w:type="dxa"/>
            <w:bottom w:w="0" w:type="dxa"/>
            <w:right w:w="0" w:type="dxa"/>
          </w:tblCellMar>
        </w:tblPrEx>
        <w:trPr>
          <w:trHeight w:val="994" w:hRule="exact"/>
          <w:jc w:val="center"/>
        </w:trPr>
        <w:tc>
          <w:tcPr>
            <w:tcW w:w="611"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18</w:t>
            </w:r>
          </w:p>
        </w:tc>
        <w:tc>
          <w:tcPr>
            <w:tcW w:w="5086"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rPr>
                <w:rFonts w:asciiTheme="minorEastAsia" w:hAnsiTheme="minorEastAsia" w:cstheme="minorEastAsia"/>
                <w:sz w:val="24"/>
                <w:szCs w:val="24"/>
              </w:rPr>
            </w:pPr>
            <w:r>
              <w:rPr>
                <w:rFonts w:hint="eastAsia" w:asciiTheme="minorEastAsia" w:hAnsiTheme="minorEastAsia" w:cstheme="minorEastAsia"/>
                <w:sz w:val="24"/>
                <w:szCs w:val="24"/>
              </w:rPr>
              <w:t>“有力推进绿色工厂建设”建议改成“有利推进绿色工厂建设”</w:t>
            </w:r>
          </w:p>
        </w:tc>
        <w:tc>
          <w:tcPr>
            <w:tcW w:w="27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sz w:val="24"/>
                <w:szCs w:val="24"/>
                <w:lang w:eastAsia="zh-Hans"/>
              </w:rPr>
            </w:pPr>
            <w:r>
              <w:rPr>
                <w:rFonts w:hint="eastAsia" w:asciiTheme="minorEastAsia" w:hAnsiTheme="minorEastAsia" w:cstheme="minorEastAsia"/>
                <w:sz w:val="24"/>
                <w:szCs w:val="24"/>
              </w:rPr>
              <w:t>史丹利农业集团股份有限公司</w:t>
            </w:r>
          </w:p>
        </w:tc>
        <w:tc>
          <w:tcPr>
            <w:tcW w:w="1229"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采纳</w:t>
            </w:r>
          </w:p>
        </w:tc>
        <w:tc>
          <w:tcPr>
            <w:tcW w:w="4488" w:type="dxa"/>
            <w:tcBorders>
              <w:top w:val="single" w:color="000000" w:sz="4" w:space="0"/>
              <w:left w:val="single" w:color="000000" w:sz="4" w:space="0"/>
              <w:bottom w:val="single" w:color="000000" w:sz="4" w:space="0"/>
              <w:right w:val="single" w:color="000000" w:sz="4" w:space="0"/>
            </w:tcBorders>
            <w:vAlign w:val="center"/>
          </w:tcPr>
          <w:p>
            <w:pPr>
              <w:tabs>
                <w:tab w:val="left" w:pos="1240"/>
              </w:tabs>
              <w:autoSpaceDE w:val="0"/>
              <w:autoSpaceDN w:val="0"/>
              <w:snapToGrid w:val="0"/>
              <w:spacing w:before="16"/>
              <w:rPr>
                <w:rFonts w:asciiTheme="minorEastAsia" w:hAnsiTheme="minorEastAsia" w:cstheme="minorEastAsia"/>
                <w:kern w:val="0"/>
                <w:sz w:val="24"/>
                <w:szCs w:val="24"/>
              </w:rPr>
            </w:pPr>
            <w:r>
              <w:rPr>
                <w:rFonts w:hint="eastAsia" w:asciiTheme="minorEastAsia" w:hAnsiTheme="minorEastAsia" w:cstheme="minorEastAsia"/>
                <w:sz w:val="24"/>
                <w:szCs w:val="24"/>
              </w:rPr>
              <w:t>改为“有利于推进绿色工厂建设”</w:t>
            </w:r>
          </w:p>
        </w:tc>
      </w:tr>
      <w:tr>
        <w:tblPrEx>
          <w:tblCellMar>
            <w:top w:w="0" w:type="dxa"/>
            <w:left w:w="0" w:type="dxa"/>
            <w:bottom w:w="0" w:type="dxa"/>
            <w:right w:w="0" w:type="dxa"/>
          </w:tblCellMar>
        </w:tblPrEx>
        <w:trPr>
          <w:trHeight w:val="994" w:hRule="exact"/>
          <w:jc w:val="center"/>
        </w:trPr>
        <w:tc>
          <w:tcPr>
            <w:tcW w:w="611"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19</w:t>
            </w:r>
          </w:p>
        </w:tc>
        <w:tc>
          <w:tcPr>
            <w:tcW w:w="5086"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rPr>
                <w:rFonts w:asciiTheme="minorEastAsia" w:hAnsiTheme="minorEastAsia" w:cstheme="minorEastAsia"/>
                <w:sz w:val="24"/>
                <w:szCs w:val="24"/>
              </w:rPr>
            </w:pPr>
            <w:r>
              <w:rPr>
                <w:rFonts w:hint="eastAsia" w:asciiTheme="minorEastAsia" w:hAnsiTheme="minorEastAsia" w:cstheme="minorEastAsia"/>
                <w:sz w:val="24"/>
                <w:szCs w:val="24"/>
              </w:rPr>
              <w:t>“复合肥料行业绿色工厂评价导则本着”改成“复合肥料行业绿色工厂评价要求本着”</w:t>
            </w:r>
          </w:p>
        </w:tc>
        <w:tc>
          <w:tcPr>
            <w:tcW w:w="27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sz w:val="24"/>
                <w:szCs w:val="24"/>
                <w:lang w:eastAsia="zh-Hans"/>
              </w:rPr>
            </w:pPr>
            <w:r>
              <w:rPr>
                <w:rFonts w:hint="eastAsia" w:asciiTheme="minorEastAsia" w:hAnsiTheme="minorEastAsia" w:cstheme="minorEastAsia"/>
                <w:sz w:val="24"/>
                <w:szCs w:val="24"/>
              </w:rPr>
              <w:t>史丹利农业集团股份有限公司</w:t>
            </w:r>
          </w:p>
        </w:tc>
        <w:tc>
          <w:tcPr>
            <w:tcW w:w="1229"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采纳</w:t>
            </w:r>
          </w:p>
        </w:tc>
        <w:tc>
          <w:tcPr>
            <w:tcW w:w="4488" w:type="dxa"/>
            <w:tcBorders>
              <w:top w:val="single" w:color="000000" w:sz="4" w:space="0"/>
              <w:left w:val="single" w:color="000000" w:sz="4" w:space="0"/>
              <w:bottom w:val="single" w:color="000000" w:sz="4" w:space="0"/>
              <w:right w:val="single" w:color="000000" w:sz="4" w:space="0"/>
            </w:tcBorders>
            <w:vAlign w:val="center"/>
          </w:tcPr>
          <w:p>
            <w:pPr>
              <w:tabs>
                <w:tab w:val="left" w:pos="1240"/>
              </w:tabs>
              <w:autoSpaceDE w:val="0"/>
              <w:autoSpaceDN w:val="0"/>
              <w:snapToGrid w:val="0"/>
              <w:spacing w:before="16"/>
              <w:rPr>
                <w:rFonts w:asciiTheme="minorEastAsia" w:hAnsiTheme="minorEastAsia" w:cstheme="minorEastAsia"/>
                <w:sz w:val="24"/>
                <w:szCs w:val="24"/>
              </w:rPr>
            </w:pPr>
            <w:r>
              <w:rPr>
                <w:rFonts w:hint="eastAsia" w:asciiTheme="minorEastAsia" w:hAnsiTheme="minorEastAsia" w:cstheme="minorEastAsia"/>
                <w:sz w:val="24"/>
                <w:szCs w:val="24"/>
              </w:rPr>
              <w:t>改成“复合肥料行业绿色工厂评价要求本着”</w:t>
            </w:r>
          </w:p>
        </w:tc>
      </w:tr>
      <w:tr>
        <w:tblPrEx>
          <w:tblCellMar>
            <w:top w:w="0" w:type="dxa"/>
            <w:left w:w="0" w:type="dxa"/>
            <w:bottom w:w="0" w:type="dxa"/>
            <w:right w:w="0" w:type="dxa"/>
          </w:tblCellMar>
        </w:tblPrEx>
        <w:trPr>
          <w:trHeight w:val="994" w:hRule="exact"/>
          <w:jc w:val="center"/>
        </w:trPr>
        <w:tc>
          <w:tcPr>
            <w:tcW w:w="611"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5086" w:type="dxa"/>
            <w:tcBorders>
              <w:top w:val="single" w:color="000000" w:sz="4" w:space="0"/>
              <w:left w:val="single" w:color="000000" w:sz="4" w:space="0"/>
              <w:bottom w:val="single" w:color="000000" w:sz="4" w:space="0"/>
              <w:right w:val="single" w:color="000000" w:sz="4" w:space="0"/>
            </w:tcBorders>
            <w:vAlign w:val="center"/>
          </w:tcPr>
          <w:p>
            <w:pPr>
              <w:snapToGrid w:val="0"/>
              <w:rPr>
                <w:rFonts w:asciiTheme="minorEastAsia" w:hAnsiTheme="minorEastAsia" w:cstheme="minorEastAsia"/>
                <w:sz w:val="24"/>
                <w:szCs w:val="24"/>
              </w:rPr>
            </w:pPr>
            <w:r>
              <w:rPr>
                <w:rFonts w:hint="eastAsia" w:asciiTheme="minorEastAsia" w:hAnsiTheme="minorEastAsia" w:cstheme="minorEastAsia"/>
                <w:sz w:val="24"/>
                <w:szCs w:val="24"/>
              </w:rPr>
              <w:t>生产工艺建议调整为1.团粒法2.塔式喷淋3.料浆法4.挤压法</w:t>
            </w:r>
          </w:p>
          <w:p>
            <w:pPr>
              <w:autoSpaceDE w:val="0"/>
              <w:autoSpaceDN w:val="0"/>
              <w:snapToGrid w:val="0"/>
              <w:ind w:left="102"/>
              <w:rPr>
                <w:rFonts w:asciiTheme="minorEastAsia" w:hAnsiTheme="minorEastAsia" w:cstheme="minorEastAsia"/>
                <w:sz w:val="24"/>
                <w:szCs w:val="24"/>
              </w:rPr>
            </w:pPr>
          </w:p>
        </w:tc>
        <w:tc>
          <w:tcPr>
            <w:tcW w:w="2712"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sz w:val="24"/>
                <w:szCs w:val="24"/>
                <w:lang w:eastAsia="zh-Hans"/>
              </w:rPr>
            </w:pPr>
            <w:r>
              <w:rPr>
                <w:rFonts w:hint="eastAsia" w:asciiTheme="minorEastAsia" w:hAnsiTheme="minorEastAsia" w:cstheme="minorEastAsia"/>
                <w:sz w:val="24"/>
                <w:szCs w:val="24"/>
              </w:rPr>
              <w:t>史丹利农业集团股份有限公司</w:t>
            </w:r>
          </w:p>
        </w:tc>
        <w:tc>
          <w:tcPr>
            <w:tcW w:w="1229" w:type="dxa"/>
            <w:tcBorders>
              <w:top w:val="single" w:color="000000" w:sz="4" w:space="0"/>
              <w:left w:val="single" w:color="000000" w:sz="4" w:space="0"/>
              <w:bottom w:val="single" w:color="000000" w:sz="4" w:space="0"/>
              <w:right w:val="single" w:color="000000" w:sz="4" w:space="0"/>
            </w:tcBorders>
            <w:vAlign w:val="center"/>
          </w:tcPr>
          <w:p>
            <w:pPr>
              <w:autoSpaceDE w:val="0"/>
              <w:autoSpaceDN w:val="0"/>
              <w:snapToGrid w:val="0"/>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采纳</w:t>
            </w:r>
          </w:p>
        </w:tc>
        <w:tc>
          <w:tcPr>
            <w:tcW w:w="4488" w:type="dxa"/>
            <w:tcBorders>
              <w:top w:val="single" w:color="000000" w:sz="4" w:space="0"/>
              <w:left w:val="single" w:color="000000" w:sz="4" w:space="0"/>
              <w:bottom w:val="single" w:color="000000" w:sz="4" w:space="0"/>
              <w:right w:val="single" w:color="000000" w:sz="4" w:space="0"/>
            </w:tcBorders>
            <w:vAlign w:val="center"/>
          </w:tcPr>
          <w:p>
            <w:pPr>
              <w:tabs>
                <w:tab w:val="left" w:pos="1240"/>
              </w:tabs>
              <w:autoSpaceDE w:val="0"/>
              <w:autoSpaceDN w:val="0"/>
              <w:snapToGrid w:val="0"/>
              <w:spacing w:before="16"/>
              <w:rPr>
                <w:rFonts w:asciiTheme="minorEastAsia" w:hAnsiTheme="minorEastAsia" w:cstheme="minorEastAsia"/>
                <w:sz w:val="24"/>
                <w:szCs w:val="24"/>
              </w:rPr>
            </w:pPr>
            <w:r>
              <w:rPr>
                <w:rFonts w:hint="eastAsia" w:asciiTheme="minorEastAsia" w:hAnsiTheme="minorEastAsia" w:cstheme="minorEastAsia"/>
                <w:kern w:val="0"/>
                <w:sz w:val="24"/>
                <w:szCs w:val="24"/>
              </w:rPr>
              <w:t>已调整未“团粒法、熔体法、挤压法”并进行了术语解释。</w:t>
            </w:r>
          </w:p>
        </w:tc>
      </w:tr>
    </w:tbl>
    <w:p>
      <w:pPr>
        <w:autoSpaceDE w:val="0"/>
        <w:autoSpaceDN w:val="0"/>
        <w:snapToGrid w:val="0"/>
        <w:spacing w:line="305" w:lineRule="exact"/>
        <w:jc w:val="left"/>
        <w:rPr>
          <w:rFonts w:ascii="微软雅黑" w:hAnsi="Times New Roman" w:eastAsia="微软雅黑" w:cs="微软雅黑"/>
          <w:kern w:val="0"/>
          <w:szCs w:val="21"/>
        </w:rPr>
      </w:pPr>
    </w:p>
    <w:sectPr>
      <w:footerReference r:id="rId6" w:type="default"/>
      <w:pgSz w:w="16840" w:h="11920" w:orient="landscape"/>
      <w:pgMar w:top="1080" w:right="1260" w:bottom="280" w:left="1220" w:header="0" w:footer="981"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Microsoft Tai Le">
    <w:panose1 w:val="020B0502040204020203"/>
    <w:charset w:val="00"/>
    <w:family w:val="swiss"/>
    <w:pitch w:val="default"/>
    <w:sig w:usb0="00000003" w:usb1="00000000" w:usb2="40000000" w:usb3="00000000" w:csb0="0000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spacing w:line="200" w:lineRule="exact"/>
      <w:jc w:val="left"/>
      <w:rPr>
        <w:rFonts w:ascii="Times New Roman" w:hAnsi="Times New Roman" w:cs="Times New Roman"/>
        <w:kern w:val="0"/>
        <w:sz w:val="20"/>
        <w:szCs w:val="20"/>
      </w:rPr>
    </w:pPr>
    <w:r>
      <mc:AlternateContent>
        <mc:Choice Requires="wps">
          <w:drawing>
            <wp:anchor distT="0" distB="0" distL="114300" distR="114300" simplePos="0" relativeHeight="251661312" behindDoc="0" locked="0" layoutInCell="0" allowOverlap="1">
              <wp:simplePos x="0" y="0"/>
              <wp:positionH relativeFrom="margin">
                <wp:align>center</wp:align>
              </wp:positionH>
              <wp:positionV relativeFrom="page">
                <wp:posOffset>10072370</wp:posOffset>
              </wp:positionV>
              <wp:extent cx="167005" cy="139700"/>
              <wp:effectExtent l="0" t="0" r="0" b="0"/>
              <wp:wrapNone/>
              <wp:docPr id="33" name="文本框 1"/>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pPr>
                            <w:autoSpaceDE w:val="0"/>
                            <w:autoSpaceDN w:val="0"/>
                            <w:adjustRightInd w:val="0"/>
                            <w:spacing w:line="204" w:lineRule="exact"/>
                            <w:ind w:left="40"/>
                            <w:jc w:val="left"/>
                            <w:rPr>
                              <w:rFonts w:ascii="Times New Roman" w:hAnsi="Times New Roman" w:cs="Times New Roman"/>
                              <w:kern w:val="0"/>
                              <w:sz w:val="18"/>
                              <w:szCs w:val="18"/>
                            </w:rPr>
                          </w:pPr>
                          <w:r>
                            <w:rPr>
                              <w:rFonts w:ascii="Times New Roman" w:hAnsi="Times New Roman" w:cs="Times New Roman"/>
                              <w:kern w:val="0"/>
                              <w:sz w:val="18"/>
                              <w:szCs w:val="18"/>
                            </w:rPr>
                            <w:fldChar w:fldCharType="begin"/>
                          </w:r>
                          <w:r>
                            <w:rPr>
                              <w:rFonts w:ascii="Times New Roman" w:hAnsi="Times New Roman" w:cs="Times New Roman"/>
                              <w:kern w:val="0"/>
                              <w:sz w:val="18"/>
                              <w:szCs w:val="18"/>
                            </w:rPr>
                            <w:instrText xml:space="preserve"> PAGE </w:instrText>
                          </w:r>
                          <w:r>
                            <w:rPr>
                              <w:rFonts w:ascii="Times New Roman" w:hAnsi="Times New Roman" w:cs="Times New Roman"/>
                              <w:kern w:val="0"/>
                              <w:sz w:val="18"/>
                              <w:szCs w:val="18"/>
                            </w:rPr>
                            <w:fldChar w:fldCharType="separate"/>
                          </w:r>
                          <w:r>
                            <w:rPr>
                              <w:rFonts w:ascii="Times New Roman" w:hAnsi="Times New Roman" w:cs="Times New Roman"/>
                              <w:kern w:val="0"/>
                              <w:sz w:val="18"/>
                              <w:szCs w:val="18"/>
                            </w:rPr>
                            <w:t>1</w:t>
                          </w:r>
                          <w:r>
                            <w:rPr>
                              <w:rFonts w:ascii="Times New Roman" w:hAnsi="Times New Roman" w:cs="Times New Roman"/>
                              <w:kern w:val="0"/>
                              <w:sz w:val="18"/>
                              <w:szCs w:val="18"/>
                            </w:rPr>
                            <w:fldChar w:fldCharType="end"/>
                          </w:r>
                        </w:p>
                      </w:txbxContent>
                    </wps:txbx>
                    <wps:bodyPr lIns="0" tIns="0" rIns="0" bIns="0" upright="1"/>
                  </wps:wsp>
                </a:graphicData>
              </a:graphic>
            </wp:anchor>
          </w:drawing>
        </mc:Choice>
        <mc:Fallback>
          <w:pict>
            <v:shape id="文本框 1" o:spid="_x0000_s1026" o:spt="202" type="#_x0000_t202" style="position:absolute;left:0pt;margin-top:793.1pt;height:11pt;width:13.15pt;mso-position-horizontal:center;mso-position-horizontal-relative:margin;mso-position-vertical-relative:page;z-index:251661312;mso-width-relative:page;mso-height-relative:page;" filled="f" stroked="f" coordsize="21600,21600" o:allowincell="f" o:gfxdata="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ABGGcK1wAAAAkBAAAPAAAAAAAAAAEAIAAAACIAAABkcnMvZG93bnJldi54bWxQSwECFAAU&#10;AAAACACHTuJA/fQlabkBAAByAwAADgAAAAAAAAABACAAAAAmAQAAZHJzL2Uyb0RvYy54bWxQSwUG&#10;AAAAAAYABgBZAQAAUQUAAAAA&#10;">
              <v:fill on="f" focussize="0,0"/>
              <v:stroke on="f"/>
              <v:imagedata o:title=""/>
              <o:lock v:ext="edit" aspectratio="f"/>
              <v:textbox inset="0mm,0mm,0mm,0mm">
                <w:txbxContent>
                  <w:p>
                    <w:pPr>
                      <w:autoSpaceDE w:val="0"/>
                      <w:autoSpaceDN w:val="0"/>
                      <w:adjustRightInd w:val="0"/>
                      <w:spacing w:line="204" w:lineRule="exact"/>
                      <w:ind w:left="40"/>
                      <w:jc w:val="left"/>
                      <w:rPr>
                        <w:rFonts w:ascii="Times New Roman" w:hAnsi="Times New Roman" w:cs="Times New Roman"/>
                        <w:kern w:val="0"/>
                        <w:sz w:val="18"/>
                        <w:szCs w:val="18"/>
                      </w:rPr>
                    </w:pPr>
                    <w:r>
                      <w:rPr>
                        <w:rFonts w:ascii="Times New Roman" w:hAnsi="Times New Roman" w:cs="Times New Roman"/>
                        <w:kern w:val="0"/>
                        <w:sz w:val="18"/>
                        <w:szCs w:val="18"/>
                      </w:rPr>
                      <w:fldChar w:fldCharType="begin"/>
                    </w:r>
                    <w:r>
                      <w:rPr>
                        <w:rFonts w:ascii="Times New Roman" w:hAnsi="Times New Roman" w:cs="Times New Roman"/>
                        <w:kern w:val="0"/>
                        <w:sz w:val="18"/>
                        <w:szCs w:val="18"/>
                      </w:rPr>
                      <w:instrText xml:space="preserve"> PAGE </w:instrText>
                    </w:r>
                    <w:r>
                      <w:rPr>
                        <w:rFonts w:ascii="Times New Roman" w:hAnsi="Times New Roman" w:cs="Times New Roman"/>
                        <w:kern w:val="0"/>
                        <w:sz w:val="18"/>
                        <w:szCs w:val="18"/>
                      </w:rPr>
                      <w:fldChar w:fldCharType="separate"/>
                    </w:r>
                    <w:r>
                      <w:rPr>
                        <w:rFonts w:ascii="Times New Roman" w:hAnsi="Times New Roman" w:cs="Times New Roman"/>
                        <w:kern w:val="0"/>
                        <w:sz w:val="18"/>
                        <w:szCs w:val="18"/>
                      </w:rPr>
                      <w:t>1</w:t>
                    </w:r>
                    <w:r>
                      <w:rPr>
                        <w:rFonts w:ascii="Times New Roman" w:hAnsi="Times New Roman" w:cs="Times New Roman"/>
                        <w:kern w:val="0"/>
                        <w:sz w:val="18"/>
                        <w:szCs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spacing w:line="200" w:lineRule="exact"/>
      <w:jc w:val="left"/>
      <w:rPr>
        <w:rFonts w:ascii="Times New Roman" w:hAnsi="Times New Roman" w:cs="Times New Roman"/>
        <w:kern w:val="0"/>
        <w:sz w:val="20"/>
        <w:szCs w:val="20"/>
      </w:rPr>
    </w:pPr>
    <w:r>
      <mc:AlternateContent>
        <mc:Choice Requires="wps">
          <w:drawing>
            <wp:anchor distT="0" distB="0" distL="114300" distR="114300" simplePos="0" relativeHeight="251663360" behindDoc="0" locked="0" layoutInCell="0" allowOverlap="1">
              <wp:simplePos x="0" y="0"/>
              <wp:positionH relativeFrom="margin">
                <wp:align>center</wp:align>
              </wp:positionH>
              <wp:positionV relativeFrom="page">
                <wp:posOffset>10072370</wp:posOffset>
              </wp:positionV>
              <wp:extent cx="167005" cy="1397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pPr>
                            <w:autoSpaceDE w:val="0"/>
                            <w:autoSpaceDN w:val="0"/>
                            <w:adjustRightInd w:val="0"/>
                            <w:spacing w:line="204" w:lineRule="exact"/>
                            <w:ind w:left="40"/>
                            <w:jc w:val="left"/>
                            <w:rPr>
                              <w:rFonts w:ascii="Times New Roman" w:hAnsi="Times New Roman" w:cs="Times New Roman"/>
                              <w:kern w:val="0"/>
                              <w:sz w:val="18"/>
                              <w:szCs w:val="18"/>
                            </w:rPr>
                          </w:pPr>
                          <w:r>
                            <w:rPr>
                              <w:rFonts w:ascii="Times New Roman" w:hAnsi="Times New Roman" w:cs="Times New Roman"/>
                              <w:kern w:val="0"/>
                              <w:sz w:val="18"/>
                              <w:szCs w:val="18"/>
                            </w:rPr>
                            <w:fldChar w:fldCharType="begin"/>
                          </w:r>
                          <w:r>
                            <w:rPr>
                              <w:rFonts w:ascii="Times New Roman" w:hAnsi="Times New Roman" w:cs="Times New Roman"/>
                              <w:kern w:val="0"/>
                              <w:sz w:val="18"/>
                              <w:szCs w:val="18"/>
                            </w:rPr>
                            <w:instrText xml:space="preserve"> PAGE </w:instrText>
                          </w:r>
                          <w:r>
                            <w:rPr>
                              <w:rFonts w:ascii="Times New Roman" w:hAnsi="Times New Roman" w:cs="Times New Roman"/>
                              <w:kern w:val="0"/>
                              <w:sz w:val="18"/>
                              <w:szCs w:val="18"/>
                            </w:rPr>
                            <w:fldChar w:fldCharType="separate"/>
                          </w:r>
                          <w:r>
                            <w:rPr>
                              <w:rFonts w:ascii="Times New Roman" w:hAnsi="Times New Roman" w:cs="Times New Roman"/>
                              <w:kern w:val="0"/>
                              <w:sz w:val="18"/>
                              <w:szCs w:val="18"/>
                            </w:rPr>
                            <w:t>1</w:t>
                          </w:r>
                          <w:r>
                            <w:rPr>
                              <w:rFonts w:ascii="Times New Roman" w:hAnsi="Times New Roman" w:cs="Times New Roman"/>
                              <w:kern w:val="0"/>
                              <w:sz w:val="18"/>
                              <w:szCs w:val="18"/>
                            </w:rPr>
                            <w:fldChar w:fldCharType="end"/>
                          </w:r>
                        </w:p>
                      </w:txbxContent>
                    </wps:txbx>
                    <wps:bodyPr lIns="0" tIns="0" rIns="0" bIns="0" upright="1"/>
                  </wps:wsp>
                </a:graphicData>
              </a:graphic>
            </wp:anchor>
          </w:drawing>
        </mc:Choice>
        <mc:Fallback>
          <w:pict>
            <v:shape id="_x0000_s1026" o:spid="_x0000_s1026" o:spt="202" type="#_x0000_t202" style="position:absolute;left:0pt;margin-top:793.1pt;height:11pt;width:13.15pt;mso-position-horizontal:center;mso-position-horizontal-relative:margin;mso-position-vertical-relative:page;z-index:251663360;mso-width-relative:page;mso-height-relative:page;" filled="f" stroked="f" coordsize="21600,21600" o:allowincell="f" o:gfxdata="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ARhnCtcAAAAJAQAADwAAAAAAAAABACAAAAAiAAAAZHJzL2Rvd25yZXYueG1sUEsBAhQA&#10;FAAAAAgAh07iQDYcRgW6AQAAcwMAAA4AAAAAAAAAAQAgAAAAJgEAAGRycy9lMm9Eb2MueG1sUEsF&#10;BgAAAAAGAAYAWQEAAFIFAAAAAA==&#10;">
              <v:fill on="f" focussize="0,0"/>
              <v:stroke on="f"/>
              <v:imagedata o:title=""/>
              <o:lock v:ext="edit" aspectratio="f"/>
              <v:textbox inset="0mm,0mm,0mm,0mm">
                <w:txbxContent>
                  <w:p>
                    <w:pPr>
                      <w:autoSpaceDE w:val="0"/>
                      <w:autoSpaceDN w:val="0"/>
                      <w:adjustRightInd w:val="0"/>
                      <w:spacing w:line="204" w:lineRule="exact"/>
                      <w:ind w:left="40"/>
                      <w:jc w:val="left"/>
                      <w:rPr>
                        <w:rFonts w:ascii="Times New Roman" w:hAnsi="Times New Roman" w:cs="Times New Roman"/>
                        <w:kern w:val="0"/>
                        <w:sz w:val="18"/>
                        <w:szCs w:val="18"/>
                      </w:rPr>
                    </w:pPr>
                    <w:r>
                      <w:rPr>
                        <w:rFonts w:ascii="Times New Roman" w:hAnsi="Times New Roman" w:cs="Times New Roman"/>
                        <w:kern w:val="0"/>
                        <w:sz w:val="18"/>
                        <w:szCs w:val="18"/>
                      </w:rPr>
                      <w:fldChar w:fldCharType="begin"/>
                    </w:r>
                    <w:r>
                      <w:rPr>
                        <w:rFonts w:ascii="Times New Roman" w:hAnsi="Times New Roman" w:cs="Times New Roman"/>
                        <w:kern w:val="0"/>
                        <w:sz w:val="18"/>
                        <w:szCs w:val="18"/>
                      </w:rPr>
                      <w:instrText xml:space="preserve"> PAGE </w:instrText>
                    </w:r>
                    <w:r>
                      <w:rPr>
                        <w:rFonts w:ascii="Times New Roman" w:hAnsi="Times New Roman" w:cs="Times New Roman"/>
                        <w:kern w:val="0"/>
                        <w:sz w:val="18"/>
                        <w:szCs w:val="18"/>
                      </w:rPr>
                      <w:fldChar w:fldCharType="separate"/>
                    </w:r>
                    <w:r>
                      <w:rPr>
                        <w:rFonts w:ascii="Times New Roman" w:hAnsi="Times New Roman" w:cs="Times New Roman"/>
                        <w:kern w:val="0"/>
                        <w:sz w:val="18"/>
                        <w:szCs w:val="18"/>
                      </w:rPr>
                      <w:t>1</w:t>
                    </w:r>
                    <w:r>
                      <w:rPr>
                        <w:rFonts w:ascii="Times New Roman" w:hAnsi="Times New Roman" w:cs="Times New Roman"/>
                        <w:kern w:val="0"/>
                        <w:sz w:val="18"/>
                        <w:szCs w:val="1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spacing w:line="200" w:lineRule="exact"/>
      <w:jc w:val="left"/>
      <w:rPr>
        <w:rFonts w:ascii="Times New Roman" w:hAnsi="Times New Roman" w:cs="Times New Roman"/>
        <w:kern w:val="0"/>
        <w:sz w:val="20"/>
        <w:szCs w:val="20"/>
      </w:rPr>
    </w:pPr>
    <w:r>
      <mc:AlternateContent>
        <mc:Choice Requires="wps">
          <w:drawing>
            <wp:anchor distT="0" distB="0" distL="114300" distR="114300" simplePos="0" relativeHeight="251662336" behindDoc="0" locked="0" layoutInCell="0" allowOverlap="1">
              <wp:simplePos x="0" y="0"/>
              <wp:positionH relativeFrom="margin">
                <wp:align>center</wp:align>
              </wp:positionH>
              <wp:positionV relativeFrom="page">
                <wp:posOffset>10072370</wp:posOffset>
              </wp:positionV>
              <wp:extent cx="167005" cy="139700"/>
              <wp:effectExtent l="0" t="0" r="0" b="0"/>
              <wp:wrapNone/>
              <wp:docPr id="34" name="文本框 8"/>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pPr>
                            <w:autoSpaceDE w:val="0"/>
                            <w:autoSpaceDN w:val="0"/>
                            <w:adjustRightInd w:val="0"/>
                            <w:spacing w:line="204" w:lineRule="exact"/>
                            <w:ind w:left="40"/>
                            <w:jc w:val="left"/>
                            <w:rPr>
                              <w:rFonts w:ascii="Times New Roman" w:hAnsi="Times New Roman" w:cs="Times New Roman"/>
                              <w:kern w:val="0"/>
                              <w:sz w:val="18"/>
                              <w:szCs w:val="18"/>
                            </w:rPr>
                          </w:pPr>
                          <w:r>
                            <w:rPr>
                              <w:rFonts w:ascii="Times New Roman" w:hAnsi="Times New Roman" w:cs="Times New Roman"/>
                              <w:kern w:val="0"/>
                              <w:sz w:val="18"/>
                              <w:szCs w:val="18"/>
                            </w:rPr>
                            <w:fldChar w:fldCharType="begin"/>
                          </w:r>
                          <w:r>
                            <w:rPr>
                              <w:rFonts w:ascii="Times New Roman" w:hAnsi="Times New Roman" w:cs="Times New Roman"/>
                              <w:kern w:val="0"/>
                              <w:sz w:val="18"/>
                              <w:szCs w:val="18"/>
                            </w:rPr>
                            <w:instrText xml:space="preserve"> PAGE </w:instrText>
                          </w:r>
                          <w:r>
                            <w:rPr>
                              <w:rFonts w:ascii="Times New Roman" w:hAnsi="Times New Roman" w:cs="Times New Roman"/>
                              <w:kern w:val="0"/>
                              <w:sz w:val="18"/>
                              <w:szCs w:val="18"/>
                            </w:rPr>
                            <w:fldChar w:fldCharType="separate"/>
                          </w:r>
                          <w:r>
                            <w:rPr>
                              <w:rFonts w:ascii="Times New Roman" w:hAnsi="Times New Roman" w:cs="Times New Roman"/>
                              <w:kern w:val="0"/>
                              <w:sz w:val="18"/>
                              <w:szCs w:val="18"/>
                            </w:rPr>
                            <w:t>1</w:t>
                          </w:r>
                          <w:r>
                            <w:rPr>
                              <w:rFonts w:ascii="Times New Roman" w:hAnsi="Times New Roman" w:cs="Times New Roman"/>
                              <w:kern w:val="0"/>
                              <w:sz w:val="18"/>
                              <w:szCs w:val="18"/>
                            </w:rPr>
                            <w:fldChar w:fldCharType="end"/>
                          </w:r>
                        </w:p>
                      </w:txbxContent>
                    </wps:txbx>
                    <wps:bodyPr lIns="0" tIns="0" rIns="0" bIns="0" upright="1"/>
                  </wps:wsp>
                </a:graphicData>
              </a:graphic>
            </wp:anchor>
          </w:drawing>
        </mc:Choice>
        <mc:Fallback>
          <w:pict>
            <v:shape id="文本框 8" o:spid="_x0000_s1026" o:spt="202" type="#_x0000_t202" style="position:absolute;left:0pt;margin-top:793.1pt;height:11pt;width:13.15pt;mso-position-horizontal:center;mso-position-horizontal-relative:margin;mso-position-vertical-relative:page;z-index:251662336;mso-width-relative:page;mso-height-relative:page;" filled="f" stroked="f" coordsize="21600,21600" o:allowincell="f" o:gfxdata="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ABGGcK1wAAAAkBAAAPAAAAAAAAAAEAIAAAACIAAABkcnMvZG93bnJldi54bWxQSwECFAAU&#10;AAAACACHTuJAIiBVerkBAAByAwAADgAAAAAAAAABACAAAAAmAQAAZHJzL2Uyb0RvYy54bWxQSwUG&#10;AAAAAAYABgBZAQAAUQUAAAAA&#10;">
              <v:fill on="f" focussize="0,0"/>
              <v:stroke on="f"/>
              <v:imagedata o:title=""/>
              <o:lock v:ext="edit" aspectratio="f"/>
              <v:textbox inset="0mm,0mm,0mm,0mm">
                <w:txbxContent>
                  <w:p>
                    <w:pPr>
                      <w:autoSpaceDE w:val="0"/>
                      <w:autoSpaceDN w:val="0"/>
                      <w:adjustRightInd w:val="0"/>
                      <w:spacing w:line="204" w:lineRule="exact"/>
                      <w:ind w:left="40"/>
                      <w:jc w:val="left"/>
                      <w:rPr>
                        <w:rFonts w:ascii="Times New Roman" w:hAnsi="Times New Roman" w:cs="Times New Roman"/>
                        <w:kern w:val="0"/>
                        <w:sz w:val="18"/>
                        <w:szCs w:val="18"/>
                      </w:rPr>
                    </w:pPr>
                    <w:r>
                      <w:rPr>
                        <w:rFonts w:ascii="Times New Roman" w:hAnsi="Times New Roman" w:cs="Times New Roman"/>
                        <w:kern w:val="0"/>
                        <w:sz w:val="18"/>
                        <w:szCs w:val="18"/>
                      </w:rPr>
                      <w:fldChar w:fldCharType="begin"/>
                    </w:r>
                    <w:r>
                      <w:rPr>
                        <w:rFonts w:ascii="Times New Roman" w:hAnsi="Times New Roman" w:cs="Times New Roman"/>
                        <w:kern w:val="0"/>
                        <w:sz w:val="18"/>
                        <w:szCs w:val="18"/>
                      </w:rPr>
                      <w:instrText xml:space="preserve"> PAGE </w:instrText>
                    </w:r>
                    <w:r>
                      <w:rPr>
                        <w:rFonts w:ascii="Times New Roman" w:hAnsi="Times New Roman" w:cs="Times New Roman"/>
                        <w:kern w:val="0"/>
                        <w:sz w:val="18"/>
                        <w:szCs w:val="18"/>
                      </w:rPr>
                      <w:fldChar w:fldCharType="separate"/>
                    </w:r>
                    <w:r>
                      <w:rPr>
                        <w:rFonts w:ascii="Times New Roman" w:hAnsi="Times New Roman" w:cs="Times New Roman"/>
                        <w:kern w:val="0"/>
                        <w:sz w:val="18"/>
                        <w:szCs w:val="18"/>
                      </w:rPr>
                      <w:t>1</w:t>
                    </w:r>
                    <w:r>
                      <w:rPr>
                        <w:rFonts w:ascii="Times New Roman" w:hAnsi="Times New Roman" w:cs="Times New Roman"/>
                        <w:kern w:val="0"/>
                        <w:sz w:val="18"/>
                        <w:szCs w:val="1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14</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E86845"/>
    <w:multiLevelType w:val="singleLevel"/>
    <w:tmpl w:val="5DE8684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doNotCompress"/>
  <w:doNotValidateAgainstSchema/>
  <w:doNotDemarcateInvalidXml/>
  <w:hdrShapeDefaults>
    <o:shapelayout v:ext="edit">
      <o:idmap v:ext="edit" data="2"/>
    </o:shapelayout>
  </w:hdrShapeDefaults>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358"/>
    <w:rsid w:val="00011394"/>
    <w:rsid w:val="00123FC9"/>
    <w:rsid w:val="0013286E"/>
    <w:rsid w:val="001B146A"/>
    <w:rsid w:val="00234F06"/>
    <w:rsid w:val="00292358"/>
    <w:rsid w:val="002A015C"/>
    <w:rsid w:val="002A1055"/>
    <w:rsid w:val="003A0681"/>
    <w:rsid w:val="0043028C"/>
    <w:rsid w:val="00510030"/>
    <w:rsid w:val="005203BF"/>
    <w:rsid w:val="0054604C"/>
    <w:rsid w:val="00553765"/>
    <w:rsid w:val="005B1839"/>
    <w:rsid w:val="00680D20"/>
    <w:rsid w:val="00721B39"/>
    <w:rsid w:val="007B39C1"/>
    <w:rsid w:val="007D31A6"/>
    <w:rsid w:val="008541B3"/>
    <w:rsid w:val="008922E2"/>
    <w:rsid w:val="008B3E30"/>
    <w:rsid w:val="00930B66"/>
    <w:rsid w:val="00936401"/>
    <w:rsid w:val="0094283B"/>
    <w:rsid w:val="00943493"/>
    <w:rsid w:val="00A16BE5"/>
    <w:rsid w:val="00A2319F"/>
    <w:rsid w:val="00AB2DA5"/>
    <w:rsid w:val="00AB6BAC"/>
    <w:rsid w:val="00B4509D"/>
    <w:rsid w:val="00B75441"/>
    <w:rsid w:val="00B9228B"/>
    <w:rsid w:val="00B9725F"/>
    <w:rsid w:val="00C63F36"/>
    <w:rsid w:val="00CC1B58"/>
    <w:rsid w:val="00CC76B6"/>
    <w:rsid w:val="00F61883"/>
    <w:rsid w:val="00FA1CE3"/>
    <w:rsid w:val="00FC1978"/>
    <w:rsid w:val="01086F83"/>
    <w:rsid w:val="01227015"/>
    <w:rsid w:val="01B12E58"/>
    <w:rsid w:val="01E50B7D"/>
    <w:rsid w:val="01E66FA5"/>
    <w:rsid w:val="020B6A0C"/>
    <w:rsid w:val="02555ED9"/>
    <w:rsid w:val="02F92D08"/>
    <w:rsid w:val="037022B8"/>
    <w:rsid w:val="037A6157"/>
    <w:rsid w:val="03AF398F"/>
    <w:rsid w:val="03B113D2"/>
    <w:rsid w:val="041E4548"/>
    <w:rsid w:val="045D72C7"/>
    <w:rsid w:val="04A42BF1"/>
    <w:rsid w:val="050D5709"/>
    <w:rsid w:val="053E7D87"/>
    <w:rsid w:val="058759EB"/>
    <w:rsid w:val="05AF5900"/>
    <w:rsid w:val="06A1008F"/>
    <w:rsid w:val="06D80E87"/>
    <w:rsid w:val="06F15AA5"/>
    <w:rsid w:val="075C748B"/>
    <w:rsid w:val="07683FB9"/>
    <w:rsid w:val="078801B7"/>
    <w:rsid w:val="07BC6FAC"/>
    <w:rsid w:val="081754CF"/>
    <w:rsid w:val="08386081"/>
    <w:rsid w:val="087E4A28"/>
    <w:rsid w:val="08AB294D"/>
    <w:rsid w:val="095A3DD5"/>
    <w:rsid w:val="095B097E"/>
    <w:rsid w:val="09903C9B"/>
    <w:rsid w:val="09962A5D"/>
    <w:rsid w:val="09F4422A"/>
    <w:rsid w:val="0A26163F"/>
    <w:rsid w:val="0A71257D"/>
    <w:rsid w:val="0B9043A1"/>
    <w:rsid w:val="0BE121AC"/>
    <w:rsid w:val="0C346722"/>
    <w:rsid w:val="0D9755F8"/>
    <w:rsid w:val="0DC83A03"/>
    <w:rsid w:val="0E3966AF"/>
    <w:rsid w:val="0EB607F6"/>
    <w:rsid w:val="0F1F5E6F"/>
    <w:rsid w:val="0FA74206"/>
    <w:rsid w:val="0FB26719"/>
    <w:rsid w:val="100C4171"/>
    <w:rsid w:val="1045133B"/>
    <w:rsid w:val="10817E99"/>
    <w:rsid w:val="108F6423"/>
    <w:rsid w:val="10F553AF"/>
    <w:rsid w:val="11005262"/>
    <w:rsid w:val="114F1D45"/>
    <w:rsid w:val="118E6D12"/>
    <w:rsid w:val="11F528E1"/>
    <w:rsid w:val="122443D1"/>
    <w:rsid w:val="124255D8"/>
    <w:rsid w:val="124E25E0"/>
    <w:rsid w:val="12635AA8"/>
    <w:rsid w:val="129A536D"/>
    <w:rsid w:val="12BD5B41"/>
    <w:rsid w:val="12F47048"/>
    <w:rsid w:val="131B64E3"/>
    <w:rsid w:val="139F5206"/>
    <w:rsid w:val="13F9382E"/>
    <w:rsid w:val="14115244"/>
    <w:rsid w:val="145327F1"/>
    <w:rsid w:val="14B142E4"/>
    <w:rsid w:val="14D0319D"/>
    <w:rsid w:val="153D0862"/>
    <w:rsid w:val="154D1AB5"/>
    <w:rsid w:val="15FF3D3A"/>
    <w:rsid w:val="16553326"/>
    <w:rsid w:val="16DD7E7C"/>
    <w:rsid w:val="172C709B"/>
    <w:rsid w:val="17602EFE"/>
    <w:rsid w:val="17944956"/>
    <w:rsid w:val="181D2B9D"/>
    <w:rsid w:val="18460845"/>
    <w:rsid w:val="18564B94"/>
    <w:rsid w:val="185C1918"/>
    <w:rsid w:val="188A41EA"/>
    <w:rsid w:val="18E241CC"/>
    <w:rsid w:val="18F500C8"/>
    <w:rsid w:val="19021B3D"/>
    <w:rsid w:val="199C6B01"/>
    <w:rsid w:val="19A20A85"/>
    <w:rsid w:val="19E82D37"/>
    <w:rsid w:val="19F85670"/>
    <w:rsid w:val="1A0A1C0D"/>
    <w:rsid w:val="1AD96035"/>
    <w:rsid w:val="1AE4030D"/>
    <w:rsid w:val="1B1C713C"/>
    <w:rsid w:val="1B385B1E"/>
    <w:rsid w:val="1B8C242C"/>
    <w:rsid w:val="1BCF2401"/>
    <w:rsid w:val="1C177904"/>
    <w:rsid w:val="1C47468D"/>
    <w:rsid w:val="1C5A616E"/>
    <w:rsid w:val="1CA13D9D"/>
    <w:rsid w:val="1CE95744"/>
    <w:rsid w:val="1CF70F88"/>
    <w:rsid w:val="1D14748C"/>
    <w:rsid w:val="1D187DD7"/>
    <w:rsid w:val="1D2B3EE7"/>
    <w:rsid w:val="1D674FB7"/>
    <w:rsid w:val="1D6F5C49"/>
    <w:rsid w:val="1D8420C5"/>
    <w:rsid w:val="1D9116FC"/>
    <w:rsid w:val="1DBD3FC2"/>
    <w:rsid w:val="1E110AAE"/>
    <w:rsid w:val="1EC10726"/>
    <w:rsid w:val="1EF108E0"/>
    <w:rsid w:val="1F033E53"/>
    <w:rsid w:val="1F12252A"/>
    <w:rsid w:val="1F752C8F"/>
    <w:rsid w:val="1FEA1B55"/>
    <w:rsid w:val="20025D8F"/>
    <w:rsid w:val="203957AA"/>
    <w:rsid w:val="212760FF"/>
    <w:rsid w:val="217771F7"/>
    <w:rsid w:val="21B979C9"/>
    <w:rsid w:val="22146DBF"/>
    <w:rsid w:val="224439AE"/>
    <w:rsid w:val="224A0A33"/>
    <w:rsid w:val="231A297E"/>
    <w:rsid w:val="234721AD"/>
    <w:rsid w:val="235051B4"/>
    <w:rsid w:val="24563D0D"/>
    <w:rsid w:val="24BE1915"/>
    <w:rsid w:val="24C7754F"/>
    <w:rsid w:val="24FD3B3B"/>
    <w:rsid w:val="257866CE"/>
    <w:rsid w:val="25F52A64"/>
    <w:rsid w:val="26502390"/>
    <w:rsid w:val="273A08A0"/>
    <w:rsid w:val="273E305B"/>
    <w:rsid w:val="27CB48D6"/>
    <w:rsid w:val="27DE59F6"/>
    <w:rsid w:val="27FA0805"/>
    <w:rsid w:val="28647FFC"/>
    <w:rsid w:val="28CA3BFF"/>
    <w:rsid w:val="2937519B"/>
    <w:rsid w:val="29BE4929"/>
    <w:rsid w:val="2A1D3BD3"/>
    <w:rsid w:val="2A7228D5"/>
    <w:rsid w:val="2A8F792B"/>
    <w:rsid w:val="2B157704"/>
    <w:rsid w:val="2B1772F0"/>
    <w:rsid w:val="2B55091D"/>
    <w:rsid w:val="2BA77322"/>
    <w:rsid w:val="2BD575BF"/>
    <w:rsid w:val="2D214A86"/>
    <w:rsid w:val="2D4668A9"/>
    <w:rsid w:val="2D8E42BC"/>
    <w:rsid w:val="2DBC24C5"/>
    <w:rsid w:val="2E156917"/>
    <w:rsid w:val="2E6647D7"/>
    <w:rsid w:val="2E994E55"/>
    <w:rsid w:val="2EC839F3"/>
    <w:rsid w:val="2F6C023B"/>
    <w:rsid w:val="2F6D3FB3"/>
    <w:rsid w:val="2FCA5650"/>
    <w:rsid w:val="30191C64"/>
    <w:rsid w:val="303E1027"/>
    <w:rsid w:val="305A6C04"/>
    <w:rsid w:val="307355F9"/>
    <w:rsid w:val="30AA08EF"/>
    <w:rsid w:val="30CC4D09"/>
    <w:rsid w:val="31742A51"/>
    <w:rsid w:val="31F01073"/>
    <w:rsid w:val="3210619B"/>
    <w:rsid w:val="323A2BD8"/>
    <w:rsid w:val="32785148"/>
    <w:rsid w:val="32904240"/>
    <w:rsid w:val="32B36180"/>
    <w:rsid w:val="34360E17"/>
    <w:rsid w:val="348C6C89"/>
    <w:rsid w:val="357D4518"/>
    <w:rsid w:val="35A16764"/>
    <w:rsid w:val="36856CB4"/>
    <w:rsid w:val="36CC24BE"/>
    <w:rsid w:val="375C6DE7"/>
    <w:rsid w:val="37702033"/>
    <w:rsid w:val="37BD17F5"/>
    <w:rsid w:val="37F214F9"/>
    <w:rsid w:val="399D377A"/>
    <w:rsid w:val="39CD7798"/>
    <w:rsid w:val="39EA3162"/>
    <w:rsid w:val="3A1563CF"/>
    <w:rsid w:val="3A26016C"/>
    <w:rsid w:val="3A2B0D7C"/>
    <w:rsid w:val="3A460B68"/>
    <w:rsid w:val="3AA5370F"/>
    <w:rsid w:val="3AB26D1E"/>
    <w:rsid w:val="3B3B291B"/>
    <w:rsid w:val="3B712493"/>
    <w:rsid w:val="3BA96372"/>
    <w:rsid w:val="3C67583F"/>
    <w:rsid w:val="3C7B550C"/>
    <w:rsid w:val="3CEB59EC"/>
    <w:rsid w:val="3CF6215A"/>
    <w:rsid w:val="3D314871"/>
    <w:rsid w:val="3DFA1107"/>
    <w:rsid w:val="3E0D29C8"/>
    <w:rsid w:val="3E3F088E"/>
    <w:rsid w:val="3E5E6576"/>
    <w:rsid w:val="3F214472"/>
    <w:rsid w:val="3F63636B"/>
    <w:rsid w:val="3FD85478"/>
    <w:rsid w:val="400B1D9F"/>
    <w:rsid w:val="40490124"/>
    <w:rsid w:val="40C86A36"/>
    <w:rsid w:val="41081805"/>
    <w:rsid w:val="411E510D"/>
    <w:rsid w:val="41474664"/>
    <w:rsid w:val="417E1E9B"/>
    <w:rsid w:val="41894C7C"/>
    <w:rsid w:val="419F56E2"/>
    <w:rsid w:val="4205007B"/>
    <w:rsid w:val="423821FE"/>
    <w:rsid w:val="42521512"/>
    <w:rsid w:val="42B775C7"/>
    <w:rsid w:val="42BE3DB2"/>
    <w:rsid w:val="42CE1B74"/>
    <w:rsid w:val="42EA779C"/>
    <w:rsid w:val="43215D85"/>
    <w:rsid w:val="43B26B0E"/>
    <w:rsid w:val="43D911DB"/>
    <w:rsid w:val="441F64F8"/>
    <w:rsid w:val="44342298"/>
    <w:rsid w:val="44A7281F"/>
    <w:rsid w:val="44ED2DB0"/>
    <w:rsid w:val="45484B31"/>
    <w:rsid w:val="45497BB9"/>
    <w:rsid w:val="45A8769B"/>
    <w:rsid w:val="45AB6446"/>
    <w:rsid w:val="45AF3523"/>
    <w:rsid w:val="45B778DE"/>
    <w:rsid w:val="45CD2B11"/>
    <w:rsid w:val="45DC10F2"/>
    <w:rsid w:val="45F002AA"/>
    <w:rsid w:val="468A6DA0"/>
    <w:rsid w:val="46D01E6C"/>
    <w:rsid w:val="4747126B"/>
    <w:rsid w:val="489108BA"/>
    <w:rsid w:val="49137521"/>
    <w:rsid w:val="4941283F"/>
    <w:rsid w:val="49913F18"/>
    <w:rsid w:val="4A190B67"/>
    <w:rsid w:val="4A9D3546"/>
    <w:rsid w:val="4B3C4B0D"/>
    <w:rsid w:val="4B9167B6"/>
    <w:rsid w:val="4B947AE4"/>
    <w:rsid w:val="4BCF7696"/>
    <w:rsid w:val="4BD115F5"/>
    <w:rsid w:val="4C0A69B9"/>
    <w:rsid w:val="4C7E7F0C"/>
    <w:rsid w:val="4CAA3CF8"/>
    <w:rsid w:val="4CCF375F"/>
    <w:rsid w:val="4D265A75"/>
    <w:rsid w:val="4E4D078E"/>
    <w:rsid w:val="4E8642F1"/>
    <w:rsid w:val="4E890D8B"/>
    <w:rsid w:val="4EFB74B8"/>
    <w:rsid w:val="4F431092"/>
    <w:rsid w:val="4F4F0984"/>
    <w:rsid w:val="4F90367A"/>
    <w:rsid w:val="4FAE3B00"/>
    <w:rsid w:val="503A5393"/>
    <w:rsid w:val="503C4B60"/>
    <w:rsid w:val="50416031"/>
    <w:rsid w:val="504F7091"/>
    <w:rsid w:val="50741C6D"/>
    <w:rsid w:val="509433EC"/>
    <w:rsid w:val="50CA5F49"/>
    <w:rsid w:val="51227E1D"/>
    <w:rsid w:val="51452242"/>
    <w:rsid w:val="517A013D"/>
    <w:rsid w:val="51AE7211"/>
    <w:rsid w:val="51B851AF"/>
    <w:rsid w:val="51D448D0"/>
    <w:rsid w:val="52314406"/>
    <w:rsid w:val="52412A09"/>
    <w:rsid w:val="528F177B"/>
    <w:rsid w:val="52F83A10"/>
    <w:rsid w:val="53513120"/>
    <w:rsid w:val="536C61AC"/>
    <w:rsid w:val="53F00B8B"/>
    <w:rsid w:val="541C54DC"/>
    <w:rsid w:val="544B6EA1"/>
    <w:rsid w:val="549E0A8A"/>
    <w:rsid w:val="54D538DD"/>
    <w:rsid w:val="54D62E19"/>
    <w:rsid w:val="559E63C4"/>
    <w:rsid w:val="55E44EFC"/>
    <w:rsid w:val="563B11CF"/>
    <w:rsid w:val="565F1AEB"/>
    <w:rsid w:val="572B1EDA"/>
    <w:rsid w:val="57936D4E"/>
    <w:rsid w:val="5837675F"/>
    <w:rsid w:val="58A65CBC"/>
    <w:rsid w:val="58BA0AB6"/>
    <w:rsid w:val="58F702C5"/>
    <w:rsid w:val="5925426B"/>
    <w:rsid w:val="5932754F"/>
    <w:rsid w:val="596863C7"/>
    <w:rsid w:val="59A620FB"/>
    <w:rsid w:val="59F91E1B"/>
    <w:rsid w:val="5A113609"/>
    <w:rsid w:val="5A1B6236"/>
    <w:rsid w:val="5AB972EA"/>
    <w:rsid w:val="5B653C0C"/>
    <w:rsid w:val="5B721E85"/>
    <w:rsid w:val="5BA109BC"/>
    <w:rsid w:val="5BAD110F"/>
    <w:rsid w:val="5BF3594F"/>
    <w:rsid w:val="5C061050"/>
    <w:rsid w:val="5C1B42CB"/>
    <w:rsid w:val="5C9212B6"/>
    <w:rsid w:val="5CB169DD"/>
    <w:rsid w:val="5CD24A1D"/>
    <w:rsid w:val="5CDB3187"/>
    <w:rsid w:val="5D0D1C8A"/>
    <w:rsid w:val="5D421266"/>
    <w:rsid w:val="5D5D49FA"/>
    <w:rsid w:val="5DBB1F3E"/>
    <w:rsid w:val="5E120A46"/>
    <w:rsid w:val="5E5E667E"/>
    <w:rsid w:val="5EC23124"/>
    <w:rsid w:val="5F0674B4"/>
    <w:rsid w:val="5F494256"/>
    <w:rsid w:val="5F6E73D9"/>
    <w:rsid w:val="5FE72EAE"/>
    <w:rsid w:val="600F05EB"/>
    <w:rsid w:val="601F74E0"/>
    <w:rsid w:val="608D13ED"/>
    <w:rsid w:val="60C447CE"/>
    <w:rsid w:val="617D3332"/>
    <w:rsid w:val="61A84853"/>
    <w:rsid w:val="61DA69D6"/>
    <w:rsid w:val="61FE0917"/>
    <w:rsid w:val="62192FCC"/>
    <w:rsid w:val="62432308"/>
    <w:rsid w:val="628250A4"/>
    <w:rsid w:val="62D743D8"/>
    <w:rsid w:val="63474E4F"/>
    <w:rsid w:val="639C0BAB"/>
    <w:rsid w:val="63C610F7"/>
    <w:rsid w:val="641F2C0B"/>
    <w:rsid w:val="646006D0"/>
    <w:rsid w:val="64644999"/>
    <w:rsid w:val="64752CA8"/>
    <w:rsid w:val="6490610A"/>
    <w:rsid w:val="6502071E"/>
    <w:rsid w:val="658234D9"/>
    <w:rsid w:val="65FE16BB"/>
    <w:rsid w:val="66DF2BDE"/>
    <w:rsid w:val="67332E10"/>
    <w:rsid w:val="6747184E"/>
    <w:rsid w:val="6850354E"/>
    <w:rsid w:val="690B0F36"/>
    <w:rsid w:val="690D0658"/>
    <w:rsid w:val="69122AFE"/>
    <w:rsid w:val="69605006"/>
    <w:rsid w:val="69AA4EE0"/>
    <w:rsid w:val="6AC124E1"/>
    <w:rsid w:val="6B144CE8"/>
    <w:rsid w:val="6B4D2244"/>
    <w:rsid w:val="6B4D27A0"/>
    <w:rsid w:val="6B4F3F91"/>
    <w:rsid w:val="6C260F35"/>
    <w:rsid w:val="6C757A27"/>
    <w:rsid w:val="6DBE0F5A"/>
    <w:rsid w:val="6E001F8C"/>
    <w:rsid w:val="6E8201DA"/>
    <w:rsid w:val="6ED34FB9"/>
    <w:rsid w:val="6EFA21FF"/>
    <w:rsid w:val="6F125A01"/>
    <w:rsid w:val="6F8E6F95"/>
    <w:rsid w:val="6FD9651F"/>
    <w:rsid w:val="704E2A69"/>
    <w:rsid w:val="710E6377"/>
    <w:rsid w:val="71740F84"/>
    <w:rsid w:val="71C30E55"/>
    <w:rsid w:val="72007D93"/>
    <w:rsid w:val="72380A4B"/>
    <w:rsid w:val="724203AC"/>
    <w:rsid w:val="729A1F96"/>
    <w:rsid w:val="72EC03ED"/>
    <w:rsid w:val="732857F3"/>
    <w:rsid w:val="734737A0"/>
    <w:rsid w:val="734C5456"/>
    <w:rsid w:val="73E6120B"/>
    <w:rsid w:val="7438001F"/>
    <w:rsid w:val="74624D35"/>
    <w:rsid w:val="7472484C"/>
    <w:rsid w:val="75735947"/>
    <w:rsid w:val="768A0573"/>
    <w:rsid w:val="76A96C4B"/>
    <w:rsid w:val="76CF243F"/>
    <w:rsid w:val="76FE61D6"/>
    <w:rsid w:val="77DF669D"/>
    <w:rsid w:val="77E063D0"/>
    <w:rsid w:val="784277F8"/>
    <w:rsid w:val="78615304"/>
    <w:rsid w:val="78827754"/>
    <w:rsid w:val="78C92D49"/>
    <w:rsid w:val="79222CE5"/>
    <w:rsid w:val="7947274B"/>
    <w:rsid w:val="794B3FEA"/>
    <w:rsid w:val="794E3B86"/>
    <w:rsid w:val="79584959"/>
    <w:rsid w:val="796110CF"/>
    <w:rsid w:val="79AE0823"/>
    <w:rsid w:val="79ED50A1"/>
    <w:rsid w:val="79FF033D"/>
    <w:rsid w:val="7A293A71"/>
    <w:rsid w:val="7A505630"/>
    <w:rsid w:val="7A951295"/>
    <w:rsid w:val="7ABA7958"/>
    <w:rsid w:val="7AF97995"/>
    <w:rsid w:val="7B415CD4"/>
    <w:rsid w:val="7B6C6499"/>
    <w:rsid w:val="7BD16567"/>
    <w:rsid w:val="7BF070CA"/>
    <w:rsid w:val="7C0934EF"/>
    <w:rsid w:val="7C6B04FF"/>
    <w:rsid w:val="7C9443EC"/>
    <w:rsid w:val="7CE30F76"/>
    <w:rsid w:val="7CFD5D3B"/>
    <w:rsid w:val="7D946A83"/>
    <w:rsid w:val="7E1E7F1F"/>
    <w:rsid w:val="7E771BA3"/>
    <w:rsid w:val="7E80548C"/>
    <w:rsid w:val="7EA83C8C"/>
    <w:rsid w:val="7EC04082"/>
    <w:rsid w:val="7EE2719E"/>
    <w:rsid w:val="7F1E64B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9">
    <w:name w:val="fontstyle01"/>
    <w:basedOn w:val="5"/>
    <w:qFormat/>
    <w:uiPriority w:val="0"/>
    <w:rPr>
      <w:rFonts w:ascii="宋体" w:hAnsi="宋体" w:eastAsia="宋体" w:cs="宋体"/>
      <w:color w:val="000000"/>
      <w:sz w:val="22"/>
      <w:szCs w:val="22"/>
    </w:rPr>
  </w:style>
  <w:style w:type="paragraph" w:styleId="10">
    <w:name w:val="List Paragraph"/>
    <w:basedOn w:val="1"/>
    <w:qFormat/>
    <w:uiPriority w:val="34"/>
    <w:pPr>
      <w:ind w:firstLine="420" w:firstLineChars="200"/>
    </w:pPr>
  </w:style>
  <w:style w:type="paragraph" w:customStyle="1" w:styleId="11">
    <w:name w:val="修订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6A8ED4-809D-4485-8ABC-5131D049CFA2}">
  <ds:schemaRefs/>
</ds:datastoreItem>
</file>

<file path=docProps/app.xml><?xml version="1.0" encoding="utf-8"?>
<Properties xmlns="http://schemas.openxmlformats.org/officeDocument/2006/extended-properties" xmlns:vt="http://schemas.openxmlformats.org/officeDocument/2006/docPropsVTypes">
  <Template>Normal</Template>
  <Pages>19</Pages>
  <Words>1936</Words>
  <Characters>11037</Characters>
  <Lines>91</Lines>
  <Paragraphs>25</Paragraphs>
  <TotalTime>0</TotalTime>
  <ScaleCrop>false</ScaleCrop>
  <LinksUpToDate>false</LinksUpToDate>
  <CharactersWithSpaces>12948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2022-03-10T08:24:00Z</dcterms:created>
  <dc:creator>ccpcli</dc:creator>
  <dc:description>Document was created by Solid Converter PDF Professional</dc:description>
  <cp:lastModifiedBy>heyao</cp:lastModifiedBy>
  <dcterms:modified xsi:type="dcterms:W3CDTF">2022-03-15T01:30:44Z</dcterms:modified>
  <dc:title>《轮胎行业绿色工厂评价要求》编制说明</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0367AA1D70A34DAB8F4F9529689A33EA</vt:lpwstr>
  </property>
</Properties>
</file>