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before="3" w:line="190" w:lineRule="exact"/>
        <w:jc w:val="left"/>
        <w:rPr>
          <w:rFonts w:ascii="Times New Roman" w:hAnsi="Times New Roman" w:cs="Times New Roman"/>
          <w:kern w:val="0"/>
          <w:sz w:val="19"/>
          <w:szCs w:val="19"/>
        </w:rPr>
      </w:pPr>
    </w:p>
    <w:p>
      <w:pPr>
        <w:autoSpaceDE w:val="0"/>
        <w:autoSpaceDN w:val="0"/>
        <w:adjustRightInd w:val="0"/>
        <w:spacing w:line="200" w:lineRule="exact"/>
        <w:jc w:val="left"/>
        <w:rPr>
          <w:rFonts w:ascii="Times New Roman" w:hAnsi="Times New Roman" w:cs="Times New Roman"/>
          <w:kern w:val="0"/>
          <w:sz w:val="20"/>
          <w:szCs w:val="20"/>
        </w:rPr>
      </w:pPr>
    </w:p>
    <w:p>
      <w:pPr>
        <w:autoSpaceDE w:val="0"/>
        <w:autoSpaceDN w:val="0"/>
        <w:adjustRightInd w:val="0"/>
        <w:spacing w:line="200" w:lineRule="exact"/>
        <w:jc w:val="left"/>
        <w:rPr>
          <w:rFonts w:ascii="Times New Roman" w:hAnsi="Times New Roman" w:cs="Times New Roman"/>
          <w:kern w:val="0"/>
          <w:sz w:val="20"/>
          <w:szCs w:val="20"/>
        </w:rPr>
      </w:pPr>
    </w:p>
    <w:p>
      <w:pPr>
        <w:autoSpaceDE w:val="0"/>
        <w:autoSpaceDN w:val="0"/>
        <w:adjustRightInd w:val="0"/>
        <w:spacing w:line="200" w:lineRule="exact"/>
        <w:jc w:val="left"/>
        <w:rPr>
          <w:rFonts w:ascii="Times New Roman" w:hAnsi="Times New Roman" w:cs="Times New Roman"/>
          <w:kern w:val="0"/>
          <w:sz w:val="20"/>
          <w:szCs w:val="20"/>
        </w:rPr>
      </w:pPr>
    </w:p>
    <w:p>
      <w:pPr>
        <w:autoSpaceDE w:val="0"/>
        <w:autoSpaceDN w:val="0"/>
        <w:adjustRightInd w:val="0"/>
        <w:spacing w:line="200" w:lineRule="exact"/>
        <w:jc w:val="left"/>
        <w:rPr>
          <w:rFonts w:ascii="Times New Roman" w:hAnsi="Times New Roman" w:cs="Times New Roman"/>
          <w:kern w:val="0"/>
          <w:sz w:val="20"/>
          <w:szCs w:val="20"/>
        </w:rPr>
      </w:pPr>
    </w:p>
    <w:p>
      <w:pPr>
        <w:autoSpaceDE w:val="0"/>
        <w:autoSpaceDN w:val="0"/>
        <w:adjustRightInd w:val="0"/>
        <w:spacing w:line="200" w:lineRule="exact"/>
        <w:jc w:val="left"/>
        <w:rPr>
          <w:rFonts w:ascii="Times New Roman" w:hAnsi="Times New Roman" w:cs="Times New Roman"/>
          <w:kern w:val="0"/>
          <w:sz w:val="20"/>
          <w:szCs w:val="20"/>
        </w:rPr>
      </w:pPr>
    </w:p>
    <w:p>
      <w:pPr>
        <w:autoSpaceDE w:val="0"/>
        <w:autoSpaceDN w:val="0"/>
        <w:adjustRightInd w:val="0"/>
        <w:spacing w:line="200" w:lineRule="exact"/>
        <w:jc w:val="left"/>
        <w:rPr>
          <w:rFonts w:ascii="Times New Roman" w:hAnsi="Times New Roman" w:cs="Times New Roman"/>
          <w:kern w:val="0"/>
          <w:sz w:val="20"/>
          <w:szCs w:val="20"/>
        </w:rPr>
      </w:pPr>
    </w:p>
    <w:p>
      <w:pPr>
        <w:autoSpaceDE w:val="0"/>
        <w:autoSpaceDN w:val="0"/>
        <w:adjustRightInd w:val="0"/>
        <w:spacing w:line="200" w:lineRule="exact"/>
        <w:jc w:val="left"/>
        <w:rPr>
          <w:rFonts w:ascii="Times New Roman" w:hAnsi="Times New Roman" w:cs="Times New Roman"/>
          <w:kern w:val="0"/>
          <w:sz w:val="20"/>
          <w:szCs w:val="20"/>
        </w:rPr>
      </w:pPr>
    </w:p>
    <w:p>
      <w:pPr>
        <w:autoSpaceDE w:val="0"/>
        <w:autoSpaceDN w:val="0"/>
        <w:adjustRightInd w:val="0"/>
        <w:spacing w:line="200" w:lineRule="exact"/>
        <w:jc w:val="left"/>
        <w:rPr>
          <w:rFonts w:ascii="Times New Roman" w:hAnsi="Times New Roman" w:cs="Times New Roman"/>
          <w:kern w:val="0"/>
          <w:sz w:val="20"/>
          <w:szCs w:val="20"/>
        </w:rPr>
      </w:pPr>
    </w:p>
    <w:p>
      <w:pPr>
        <w:autoSpaceDE w:val="0"/>
        <w:autoSpaceDN w:val="0"/>
        <w:adjustRightInd w:val="0"/>
        <w:spacing w:line="200" w:lineRule="exact"/>
        <w:jc w:val="left"/>
        <w:rPr>
          <w:rFonts w:ascii="Times New Roman" w:hAnsi="Times New Roman" w:cs="Times New Roman"/>
          <w:kern w:val="0"/>
          <w:sz w:val="20"/>
          <w:szCs w:val="20"/>
        </w:rPr>
      </w:pPr>
    </w:p>
    <w:p>
      <w:pPr>
        <w:autoSpaceDE w:val="0"/>
        <w:autoSpaceDN w:val="0"/>
        <w:adjustRightInd w:val="0"/>
        <w:spacing w:line="200" w:lineRule="exact"/>
        <w:jc w:val="left"/>
        <w:rPr>
          <w:rFonts w:ascii="Times New Roman" w:hAnsi="Times New Roman" w:cs="Times New Roman"/>
          <w:kern w:val="0"/>
          <w:sz w:val="20"/>
          <w:szCs w:val="20"/>
        </w:rPr>
      </w:pPr>
    </w:p>
    <w:p>
      <w:pPr>
        <w:autoSpaceDE w:val="0"/>
        <w:autoSpaceDN w:val="0"/>
        <w:adjustRightInd w:val="0"/>
        <w:spacing w:line="200" w:lineRule="exact"/>
        <w:jc w:val="left"/>
        <w:rPr>
          <w:rFonts w:ascii="Times New Roman" w:hAnsi="Times New Roman" w:cs="Times New Roman"/>
          <w:kern w:val="0"/>
          <w:sz w:val="20"/>
          <w:szCs w:val="20"/>
        </w:rPr>
      </w:pPr>
    </w:p>
    <w:p>
      <w:pPr>
        <w:autoSpaceDE w:val="0"/>
        <w:autoSpaceDN w:val="0"/>
        <w:adjustRightInd w:val="0"/>
        <w:spacing w:line="200" w:lineRule="exact"/>
        <w:jc w:val="left"/>
        <w:rPr>
          <w:rFonts w:ascii="Times New Roman" w:hAnsi="Times New Roman" w:cs="Times New Roman"/>
          <w:kern w:val="0"/>
          <w:sz w:val="20"/>
          <w:szCs w:val="20"/>
        </w:rPr>
      </w:pPr>
    </w:p>
    <w:p>
      <w:pPr>
        <w:autoSpaceDE w:val="0"/>
        <w:autoSpaceDN w:val="0"/>
        <w:adjustRightInd w:val="0"/>
        <w:spacing w:line="549" w:lineRule="exact"/>
        <w:ind w:left="58" w:right="65"/>
        <w:jc w:val="center"/>
        <w:rPr>
          <w:rFonts w:hint="eastAsia" w:ascii="宋体" w:hAnsi="宋体" w:eastAsia="宋体" w:cs="宋体"/>
          <w:kern w:val="0"/>
          <w:sz w:val="44"/>
          <w:szCs w:val="44"/>
        </w:rPr>
      </w:pPr>
      <w:r>
        <w:rPr>
          <w:rFonts w:hint="eastAsia" w:ascii="宋体" w:hAnsi="宋体" w:eastAsia="宋体" w:cs="宋体"/>
          <w:w w:val="99"/>
          <w:kern w:val="0"/>
          <w:sz w:val="44"/>
          <w:szCs w:val="44"/>
        </w:rPr>
        <w:t>《磷酸一铵、磷酸二铵行业绿</w:t>
      </w:r>
      <w:r>
        <w:rPr>
          <w:rFonts w:hint="eastAsia" w:ascii="宋体" w:hAnsi="宋体" w:eastAsia="宋体" w:cs="宋体"/>
          <w:spacing w:val="2"/>
          <w:w w:val="99"/>
          <w:kern w:val="0"/>
          <w:sz w:val="44"/>
          <w:szCs w:val="44"/>
        </w:rPr>
        <w:t>色工</w:t>
      </w:r>
      <w:r>
        <w:rPr>
          <w:rFonts w:hint="eastAsia" w:ascii="宋体" w:hAnsi="宋体" w:eastAsia="宋体" w:cs="宋体"/>
          <w:w w:val="99"/>
          <w:kern w:val="0"/>
          <w:sz w:val="44"/>
          <w:szCs w:val="44"/>
        </w:rPr>
        <w:t>厂评价</w:t>
      </w:r>
      <w:r>
        <w:rPr>
          <w:rFonts w:hint="eastAsia" w:ascii="宋体" w:hAnsi="宋体" w:eastAsia="宋体" w:cs="宋体"/>
          <w:spacing w:val="2"/>
          <w:w w:val="99"/>
          <w:kern w:val="0"/>
          <w:sz w:val="44"/>
          <w:szCs w:val="44"/>
        </w:rPr>
        <w:t>要求</w:t>
      </w:r>
      <w:r>
        <w:rPr>
          <w:rFonts w:hint="eastAsia" w:ascii="宋体" w:hAnsi="宋体" w:eastAsia="宋体" w:cs="宋体"/>
          <w:w w:val="99"/>
          <w:kern w:val="0"/>
          <w:sz w:val="44"/>
          <w:szCs w:val="44"/>
        </w:rPr>
        <w:t>》编制</w:t>
      </w:r>
      <w:r>
        <w:rPr>
          <w:rFonts w:hint="eastAsia" w:ascii="宋体" w:hAnsi="宋体" w:eastAsia="宋体" w:cs="宋体"/>
          <w:spacing w:val="2"/>
          <w:w w:val="99"/>
          <w:kern w:val="0"/>
          <w:sz w:val="44"/>
          <w:szCs w:val="44"/>
        </w:rPr>
        <w:t>说</w:t>
      </w:r>
      <w:r>
        <w:rPr>
          <w:rFonts w:hint="eastAsia" w:ascii="宋体" w:hAnsi="宋体" w:eastAsia="宋体" w:cs="宋体"/>
          <w:w w:val="99"/>
          <w:kern w:val="0"/>
          <w:sz w:val="44"/>
          <w:szCs w:val="44"/>
        </w:rPr>
        <w:t>明</w:t>
      </w:r>
    </w:p>
    <w:p>
      <w:pPr>
        <w:autoSpaceDE w:val="0"/>
        <w:autoSpaceDN w:val="0"/>
        <w:adjustRightInd w:val="0"/>
        <w:spacing w:line="200" w:lineRule="exact"/>
        <w:jc w:val="left"/>
        <w:rPr>
          <w:rFonts w:ascii="Microsoft JhengHei" w:hAnsi="Times New Roman" w:eastAsia="Microsoft JhengHei" w:cs="Microsoft JhengHei"/>
          <w:kern w:val="0"/>
          <w:sz w:val="20"/>
          <w:szCs w:val="20"/>
        </w:rPr>
      </w:pPr>
    </w:p>
    <w:p>
      <w:pPr>
        <w:autoSpaceDE w:val="0"/>
        <w:autoSpaceDN w:val="0"/>
        <w:adjustRightInd w:val="0"/>
        <w:spacing w:line="200" w:lineRule="exact"/>
        <w:jc w:val="left"/>
        <w:rPr>
          <w:rFonts w:ascii="Microsoft JhengHei" w:hAnsi="Times New Roman" w:eastAsia="Microsoft JhengHei" w:cs="Microsoft JhengHei"/>
          <w:kern w:val="0"/>
          <w:sz w:val="20"/>
          <w:szCs w:val="20"/>
        </w:rPr>
      </w:pPr>
    </w:p>
    <w:p>
      <w:pPr>
        <w:autoSpaceDE w:val="0"/>
        <w:autoSpaceDN w:val="0"/>
        <w:adjustRightInd w:val="0"/>
        <w:spacing w:line="200" w:lineRule="exact"/>
        <w:jc w:val="left"/>
        <w:rPr>
          <w:rFonts w:ascii="Microsoft JhengHei" w:hAnsi="Times New Roman" w:eastAsia="Microsoft JhengHei" w:cs="Microsoft JhengHei"/>
          <w:kern w:val="0"/>
          <w:sz w:val="20"/>
          <w:szCs w:val="20"/>
        </w:rPr>
      </w:pPr>
    </w:p>
    <w:p>
      <w:pPr>
        <w:autoSpaceDE w:val="0"/>
        <w:autoSpaceDN w:val="0"/>
        <w:adjustRightInd w:val="0"/>
        <w:spacing w:line="200" w:lineRule="exact"/>
        <w:jc w:val="left"/>
        <w:rPr>
          <w:rFonts w:ascii="Microsoft JhengHei" w:hAnsi="Times New Roman" w:eastAsia="Microsoft JhengHei" w:cs="Microsoft JhengHei"/>
          <w:kern w:val="0"/>
          <w:sz w:val="20"/>
          <w:szCs w:val="20"/>
        </w:rPr>
      </w:pPr>
    </w:p>
    <w:p>
      <w:pPr>
        <w:autoSpaceDE w:val="0"/>
        <w:autoSpaceDN w:val="0"/>
        <w:adjustRightInd w:val="0"/>
        <w:spacing w:line="200" w:lineRule="exact"/>
        <w:jc w:val="left"/>
        <w:rPr>
          <w:rFonts w:ascii="Microsoft JhengHei" w:hAnsi="Times New Roman" w:eastAsia="Microsoft JhengHei" w:cs="Microsoft JhengHei"/>
          <w:kern w:val="0"/>
          <w:sz w:val="20"/>
          <w:szCs w:val="20"/>
        </w:rPr>
      </w:pPr>
    </w:p>
    <w:p>
      <w:pPr>
        <w:autoSpaceDE w:val="0"/>
        <w:autoSpaceDN w:val="0"/>
        <w:adjustRightInd w:val="0"/>
        <w:spacing w:line="200" w:lineRule="exact"/>
        <w:jc w:val="left"/>
        <w:rPr>
          <w:rFonts w:ascii="Microsoft JhengHei" w:hAnsi="Times New Roman" w:eastAsia="Microsoft JhengHei" w:cs="Microsoft JhengHei"/>
          <w:kern w:val="0"/>
          <w:sz w:val="20"/>
          <w:szCs w:val="20"/>
        </w:rPr>
      </w:pPr>
    </w:p>
    <w:p>
      <w:pPr>
        <w:autoSpaceDE w:val="0"/>
        <w:autoSpaceDN w:val="0"/>
        <w:adjustRightInd w:val="0"/>
        <w:spacing w:line="200" w:lineRule="exact"/>
        <w:jc w:val="left"/>
        <w:rPr>
          <w:rFonts w:ascii="Microsoft JhengHei" w:hAnsi="Times New Roman" w:eastAsia="Microsoft JhengHei" w:cs="Microsoft JhengHei"/>
          <w:kern w:val="0"/>
          <w:sz w:val="20"/>
          <w:szCs w:val="20"/>
        </w:rPr>
      </w:pPr>
    </w:p>
    <w:p>
      <w:pPr>
        <w:autoSpaceDE w:val="0"/>
        <w:autoSpaceDN w:val="0"/>
        <w:adjustRightInd w:val="0"/>
        <w:spacing w:line="200" w:lineRule="exact"/>
        <w:jc w:val="left"/>
        <w:rPr>
          <w:rFonts w:ascii="Microsoft JhengHei" w:hAnsi="Times New Roman" w:eastAsia="Microsoft JhengHei" w:cs="Microsoft JhengHei"/>
          <w:kern w:val="0"/>
          <w:sz w:val="20"/>
          <w:szCs w:val="20"/>
        </w:rPr>
      </w:pPr>
    </w:p>
    <w:p>
      <w:pPr>
        <w:autoSpaceDE w:val="0"/>
        <w:autoSpaceDN w:val="0"/>
        <w:adjustRightInd w:val="0"/>
        <w:spacing w:line="200" w:lineRule="exact"/>
        <w:jc w:val="left"/>
        <w:rPr>
          <w:rFonts w:ascii="Microsoft JhengHei" w:hAnsi="Times New Roman" w:eastAsia="Microsoft JhengHei" w:cs="Microsoft JhengHei"/>
          <w:kern w:val="0"/>
          <w:sz w:val="20"/>
          <w:szCs w:val="20"/>
        </w:rPr>
      </w:pPr>
    </w:p>
    <w:p>
      <w:pPr>
        <w:autoSpaceDE w:val="0"/>
        <w:autoSpaceDN w:val="0"/>
        <w:adjustRightInd w:val="0"/>
        <w:spacing w:line="200" w:lineRule="exact"/>
        <w:jc w:val="left"/>
        <w:rPr>
          <w:rFonts w:ascii="Microsoft JhengHei" w:hAnsi="Times New Roman" w:eastAsia="Microsoft JhengHei" w:cs="Microsoft JhengHei"/>
          <w:kern w:val="0"/>
          <w:sz w:val="20"/>
          <w:szCs w:val="20"/>
        </w:rPr>
      </w:pPr>
    </w:p>
    <w:p>
      <w:pPr>
        <w:autoSpaceDE w:val="0"/>
        <w:autoSpaceDN w:val="0"/>
        <w:adjustRightInd w:val="0"/>
        <w:spacing w:line="200" w:lineRule="exact"/>
        <w:jc w:val="left"/>
        <w:rPr>
          <w:rFonts w:ascii="Microsoft JhengHei" w:hAnsi="Times New Roman" w:eastAsia="Microsoft JhengHei" w:cs="Microsoft JhengHei"/>
          <w:kern w:val="0"/>
          <w:sz w:val="20"/>
          <w:szCs w:val="20"/>
        </w:rPr>
      </w:pPr>
    </w:p>
    <w:p>
      <w:pPr>
        <w:autoSpaceDE w:val="0"/>
        <w:autoSpaceDN w:val="0"/>
        <w:adjustRightInd w:val="0"/>
        <w:spacing w:line="200" w:lineRule="exact"/>
        <w:jc w:val="left"/>
        <w:rPr>
          <w:rFonts w:ascii="Microsoft JhengHei" w:hAnsi="Times New Roman" w:eastAsia="Microsoft JhengHei" w:cs="Microsoft JhengHei"/>
          <w:kern w:val="0"/>
          <w:sz w:val="20"/>
          <w:szCs w:val="20"/>
        </w:rPr>
      </w:pPr>
    </w:p>
    <w:p>
      <w:pPr>
        <w:autoSpaceDE w:val="0"/>
        <w:autoSpaceDN w:val="0"/>
        <w:adjustRightInd w:val="0"/>
        <w:spacing w:line="200" w:lineRule="exact"/>
        <w:jc w:val="left"/>
        <w:rPr>
          <w:rFonts w:ascii="Microsoft JhengHei" w:hAnsi="Times New Roman" w:eastAsia="Microsoft JhengHei" w:cs="Microsoft JhengHei"/>
          <w:kern w:val="0"/>
          <w:sz w:val="20"/>
          <w:szCs w:val="20"/>
        </w:rPr>
      </w:pPr>
    </w:p>
    <w:p>
      <w:pPr>
        <w:autoSpaceDE w:val="0"/>
        <w:autoSpaceDN w:val="0"/>
        <w:adjustRightInd w:val="0"/>
        <w:spacing w:line="200" w:lineRule="exact"/>
        <w:jc w:val="left"/>
        <w:rPr>
          <w:rFonts w:ascii="Microsoft JhengHei" w:hAnsi="Times New Roman" w:eastAsia="Microsoft JhengHei" w:cs="Microsoft JhengHei"/>
          <w:kern w:val="0"/>
          <w:sz w:val="20"/>
          <w:szCs w:val="20"/>
        </w:rPr>
      </w:pPr>
    </w:p>
    <w:p>
      <w:pPr>
        <w:autoSpaceDE w:val="0"/>
        <w:autoSpaceDN w:val="0"/>
        <w:adjustRightInd w:val="0"/>
        <w:spacing w:line="200" w:lineRule="exact"/>
        <w:jc w:val="left"/>
        <w:rPr>
          <w:rFonts w:ascii="Microsoft JhengHei" w:hAnsi="Times New Roman" w:eastAsia="Microsoft JhengHei" w:cs="Microsoft JhengHei"/>
          <w:kern w:val="0"/>
          <w:sz w:val="20"/>
          <w:szCs w:val="20"/>
        </w:rPr>
      </w:pPr>
    </w:p>
    <w:p>
      <w:pPr>
        <w:autoSpaceDE w:val="0"/>
        <w:autoSpaceDN w:val="0"/>
        <w:adjustRightInd w:val="0"/>
        <w:spacing w:line="200" w:lineRule="exact"/>
        <w:jc w:val="left"/>
        <w:rPr>
          <w:rFonts w:ascii="Microsoft JhengHei" w:hAnsi="Times New Roman" w:eastAsia="Microsoft JhengHei" w:cs="Microsoft JhengHei"/>
          <w:kern w:val="0"/>
          <w:sz w:val="20"/>
          <w:szCs w:val="20"/>
        </w:rPr>
      </w:pPr>
    </w:p>
    <w:p>
      <w:pPr>
        <w:autoSpaceDE w:val="0"/>
        <w:autoSpaceDN w:val="0"/>
        <w:adjustRightInd w:val="0"/>
        <w:spacing w:line="200" w:lineRule="exact"/>
        <w:jc w:val="left"/>
        <w:rPr>
          <w:rFonts w:ascii="Microsoft JhengHei" w:hAnsi="Times New Roman" w:eastAsia="Microsoft JhengHei" w:cs="Microsoft JhengHei"/>
          <w:kern w:val="0"/>
          <w:sz w:val="20"/>
          <w:szCs w:val="20"/>
        </w:rPr>
      </w:pPr>
    </w:p>
    <w:p>
      <w:pPr>
        <w:autoSpaceDE w:val="0"/>
        <w:autoSpaceDN w:val="0"/>
        <w:adjustRightInd w:val="0"/>
        <w:spacing w:line="200" w:lineRule="exact"/>
        <w:jc w:val="left"/>
        <w:rPr>
          <w:rFonts w:ascii="Microsoft JhengHei" w:hAnsi="Times New Roman" w:eastAsia="Microsoft JhengHei" w:cs="Microsoft JhengHei"/>
          <w:kern w:val="0"/>
          <w:sz w:val="20"/>
          <w:szCs w:val="20"/>
        </w:rPr>
      </w:pPr>
    </w:p>
    <w:p>
      <w:pPr>
        <w:autoSpaceDE w:val="0"/>
        <w:autoSpaceDN w:val="0"/>
        <w:adjustRightInd w:val="0"/>
        <w:spacing w:line="200" w:lineRule="exact"/>
        <w:jc w:val="left"/>
        <w:rPr>
          <w:rFonts w:ascii="Microsoft JhengHei" w:hAnsi="Times New Roman" w:eastAsia="Microsoft JhengHei" w:cs="Microsoft JhengHei"/>
          <w:kern w:val="0"/>
          <w:sz w:val="20"/>
          <w:szCs w:val="20"/>
        </w:rPr>
      </w:pPr>
    </w:p>
    <w:p>
      <w:pPr>
        <w:autoSpaceDE w:val="0"/>
        <w:autoSpaceDN w:val="0"/>
        <w:adjustRightInd w:val="0"/>
        <w:spacing w:line="200" w:lineRule="exact"/>
        <w:jc w:val="left"/>
        <w:rPr>
          <w:rFonts w:ascii="Microsoft JhengHei" w:hAnsi="Times New Roman" w:eastAsia="Microsoft JhengHei" w:cs="Microsoft JhengHei"/>
          <w:kern w:val="0"/>
          <w:sz w:val="20"/>
          <w:szCs w:val="20"/>
        </w:rPr>
      </w:pPr>
    </w:p>
    <w:p>
      <w:pPr>
        <w:autoSpaceDE w:val="0"/>
        <w:autoSpaceDN w:val="0"/>
        <w:adjustRightInd w:val="0"/>
        <w:spacing w:line="200" w:lineRule="exact"/>
        <w:jc w:val="left"/>
        <w:rPr>
          <w:rFonts w:ascii="Microsoft JhengHei" w:hAnsi="Times New Roman" w:eastAsia="Microsoft JhengHei" w:cs="Microsoft JhengHei"/>
          <w:kern w:val="0"/>
          <w:sz w:val="20"/>
          <w:szCs w:val="20"/>
        </w:rPr>
      </w:pPr>
    </w:p>
    <w:p>
      <w:pPr>
        <w:autoSpaceDE w:val="0"/>
        <w:autoSpaceDN w:val="0"/>
        <w:adjustRightInd w:val="0"/>
        <w:spacing w:line="200" w:lineRule="exact"/>
        <w:jc w:val="left"/>
        <w:rPr>
          <w:rFonts w:ascii="Microsoft JhengHei" w:hAnsi="Times New Roman" w:eastAsia="Microsoft JhengHei" w:cs="Microsoft JhengHei"/>
          <w:kern w:val="0"/>
          <w:sz w:val="20"/>
          <w:szCs w:val="20"/>
        </w:rPr>
      </w:pPr>
    </w:p>
    <w:p>
      <w:pPr>
        <w:autoSpaceDE w:val="0"/>
        <w:autoSpaceDN w:val="0"/>
        <w:adjustRightInd w:val="0"/>
        <w:spacing w:line="200" w:lineRule="exact"/>
        <w:jc w:val="left"/>
        <w:rPr>
          <w:rFonts w:ascii="Microsoft JhengHei" w:hAnsi="Times New Roman" w:eastAsia="Microsoft JhengHei" w:cs="Microsoft JhengHei"/>
          <w:kern w:val="0"/>
          <w:sz w:val="20"/>
          <w:szCs w:val="20"/>
        </w:rPr>
      </w:pPr>
    </w:p>
    <w:p>
      <w:pPr>
        <w:autoSpaceDE w:val="0"/>
        <w:autoSpaceDN w:val="0"/>
        <w:adjustRightInd w:val="0"/>
        <w:spacing w:line="200" w:lineRule="exact"/>
        <w:jc w:val="left"/>
        <w:rPr>
          <w:rFonts w:ascii="Microsoft JhengHei" w:hAnsi="Times New Roman" w:eastAsia="Microsoft JhengHei" w:cs="Microsoft JhengHei"/>
          <w:kern w:val="0"/>
          <w:sz w:val="20"/>
          <w:szCs w:val="20"/>
        </w:rPr>
      </w:pPr>
    </w:p>
    <w:p>
      <w:pPr>
        <w:autoSpaceDE w:val="0"/>
        <w:autoSpaceDN w:val="0"/>
        <w:adjustRightInd w:val="0"/>
        <w:spacing w:line="200" w:lineRule="exact"/>
        <w:jc w:val="left"/>
        <w:rPr>
          <w:rFonts w:ascii="Microsoft JhengHei" w:hAnsi="Times New Roman" w:eastAsia="Microsoft JhengHei" w:cs="Microsoft JhengHei"/>
          <w:kern w:val="0"/>
          <w:sz w:val="20"/>
          <w:szCs w:val="20"/>
        </w:rPr>
      </w:pPr>
    </w:p>
    <w:p>
      <w:pPr>
        <w:autoSpaceDE w:val="0"/>
        <w:autoSpaceDN w:val="0"/>
        <w:adjustRightInd w:val="0"/>
        <w:spacing w:line="200" w:lineRule="exact"/>
        <w:jc w:val="left"/>
        <w:rPr>
          <w:rFonts w:ascii="Microsoft JhengHei" w:hAnsi="Times New Roman" w:eastAsia="Microsoft JhengHei" w:cs="Microsoft JhengHei"/>
          <w:kern w:val="0"/>
          <w:sz w:val="20"/>
          <w:szCs w:val="20"/>
        </w:rPr>
      </w:pPr>
    </w:p>
    <w:p>
      <w:pPr>
        <w:autoSpaceDE w:val="0"/>
        <w:autoSpaceDN w:val="0"/>
        <w:adjustRightInd w:val="0"/>
        <w:spacing w:line="200" w:lineRule="exact"/>
        <w:jc w:val="left"/>
        <w:rPr>
          <w:rFonts w:ascii="Microsoft JhengHei" w:hAnsi="Times New Roman" w:eastAsia="Microsoft JhengHei" w:cs="Microsoft JhengHei"/>
          <w:kern w:val="0"/>
          <w:sz w:val="20"/>
          <w:szCs w:val="20"/>
        </w:rPr>
      </w:pPr>
    </w:p>
    <w:p>
      <w:pPr>
        <w:autoSpaceDE w:val="0"/>
        <w:autoSpaceDN w:val="0"/>
        <w:adjustRightInd w:val="0"/>
        <w:spacing w:line="200" w:lineRule="exact"/>
        <w:jc w:val="left"/>
        <w:rPr>
          <w:rFonts w:ascii="Microsoft JhengHei" w:hAnsi="Times New Roman" w:eastAsia="Microsoft JhengHei" w:cs="Microsoft JhengHei"/>
          <w:kern w:val="0"/>
          <w:sz w:val="20"/>
          <w:szCs w:val="20"/>
        </w:rPr>
      </w:pPr>
    </w:p>
    <w:p>
      <w:pPr>
        <w:autoSpaceDE w:val="0"/>
        <w:autoSpaceDN w:val="0"/>
        <w:adjustRightInd w:val="0"/>
        <w:spacing w:line="200" w:lineRule="exact"/>
        <w:jc w:val="left"/>
        <w:rPr>
          <w:rFonts w:ascii="Microsoft JhengHei" w:hAnsi="Times New Roman" w:eastAsia="Microsoft JhengHei" w:cs="Microsoft JhengHei"/>
          <w:kern w:val="0"/>
          <w:sz w:val="20"/>
          <w:szCs w:val="20"/>
        </w:rPr>
      </w:pPr>
    </w:p>
    <w:p>
      <w:pPr>
        <w:autoSpaceDE w:val="0"/>
        <w:autoSpaceDN w:val="0"/>
        <w:adjustRightInd w:val="0"/>
        <w:spacing w:line="200" w:lineRule="exact"/>
        <w:jc w:val="left"/>
        <w:rPr>
          <w:rFonts w:ascii="Microsoft JhengHei" w:hAnsi="Times New Roman" w:eastAsia="Microsoft JhengHei" w:cs="Microsoft JhengHei"/>
          <w:kern w:val="0"/>
          <w:sz w:val="20"/>
          <w:szCs w:val="20"/>
        </w:rPr>
      </w:pPr>
    </w:p>
    <w:p>
      <w:pPr>
        <w:autoSpaceDE w:val="0"/>
        <w:autoSpaceDN w:val="0"/>
        <w:adjustRightInd w:val="0"/>
        <w:spacing w:line="200" w:lineRule="exact"/>
        <w:jc w:val="left"/>
        <w:rPr>
          <w:rFonts w:ascii="Microsoft JhengHei" w:hAnsi="Times New Roman" w:eastAsia="Microsoft JhengHei" w:cs="Microsoft JhengHei"/>
          <w:kern w:val="0"/>
          <w:sz w:val="20"/>
          <w:szCs w:val="20"/>
        </w:rPr>
      </w:pPr>
    </w:p>
    <w:p>
      <w:pPr>
        <w:autoSpaceDE w:val="0"/>
        <w:autoSpaceDN w:val="0"/>
        <w:adjustRightInd w:val="0"/>
        <w:spacing w:line="200" w:lineRule="exact"/>
        <w:jc w:val="left"/>
        <w:rPr>
          <w:rFonts w:ascii="Microsoft JhengHei" w:hAnsi="Times New Roman" w:eastAsia="Microsoft JhengHei" w:cs="Microsoft JhengHei"/>
          <w:kern w:val="0"/>
          <w:sz w:val="20"/>
          <w:szCs w:val="20"/>
        </w:rPr>
      </w:pPr>
    </w:p>
    <w:p>
      <w:pPr>
        <w:autoSpaceDE w:val="0"/>
        <w:autoSpaceDN w:val="0"/>
        <w:adjustRightInd w:val="0"/>
        <w:spacing w:line="200" w:lineRule="exact"/>
        <w:jc w:val="left"/>
        <w:rPr>
          <w:rFonts w:ascii="Microsoft JhengHei" w:hAnsi="Times New Roman" w:eastAsia="Microsoft JhengHei" w:cs="Microsoft JhengHei"/>
          <w:kern w:val="0"/>
          <w:sz w:val="20"/>
          <w:szCs w:val="20"/>
        </w:rPr>
      </w:pPr>
    </w:p>
    <w:p>
      <w:pPr>
        <w:autoSpaceDE w:val="0"/>
        <w:autoSpaceDN w:val="0"/>
        <w:adjustRightInd w:val="0"/>
        <w:spacing w:line="200" w:lineRule="exact"/>
        <w:jc w:val="left"/>
        <w:rPr>
          <w:rFonts w:ascii="Microsoft JhengHei" w:hAnsi="Times New Roman" w:eastAsia="Microsoft JhengHei" w:cs="Microsoft JhengHei"/>
          <w:kern w:val="0"/>
          <w:sz w:val="20"/>
          <w:szCs w:val="20"/>
        </w:rPr>
      </w:pPr>
    </w:p>
    <w:p>
      <w:pPr>
        <w:autoSpaceDE w:val="0"/>
        <w:autoSpaceDN w:val="0"/>
        <w:adjustRightInd w:val="0"/>
        <w:spacing w:line="200" w:lineRule="exact"/>
        <w:jc w:val="left"/>
        <w:rPr>
          <w:rFonts w:ascii="Microsoft JhengHei" w:hAnsi="Times New Roman" w:eastAsia="Microsoft JhengHei" w:cs="Microsoft JhengHei"/>
          <w:kern w:val="0"/>
          <w:sz w:val="20"/>
          <w:szCs w:val="20"/>
        </w:rPr>
      </w:pPr>
    </w:p>
    <w:p>
      <w:pPr>
        <w:autoSpaceDE w:val="0"/>
        <w:autoSpaceDN w:val="0"/>
        <w:adjustRightInd w:val="0"/>
        <w:spacing w:line="200" w:lineRule="exact"/>
        <w:jc w:val="left"/>
        <w:rPr>
          <w:rFonts w:ascii="Microsoft JhengHei" w:hAnsi="Times New Roman" w:eastAsia="Microsoft JhengHei" w:cs="Microsoft JhengHei"/>
          <w:kern w:val="0"/>
          <w:sz w:val="20"/>
          <w:szCs w:val="20"/>
        </w:rPr>
      </w:pPr>
    </w:p>
    <w:p>
      <w:pPr>
        <w:autoSpaceDE w:val="0"/>
        <w:autoSpaceDN w:val="0"/>
        <w:adjustRightInd w:val="0"/>
        <w:spacing w:line="200" w:lineRule="exact"/>
        <w:jc w:val="left"/>
        <w:rPr>
          <w:rFonts w:ascii="Microsoft JhengHei" w:hAnsi="Times New Roman" w:eastAsia="Microsoft JhengHei" w:cs="Microsoft JhengHei"/>
          <w:kern w:val="0"/>
          <w:sz w:val="20"/>
          <w:szCs w:val="20"/>
        </w:rPr>
      </w:pPr>
    </w:p>
    <w:p>
      <w:pPr>
        <w:autoSpaceDE w:val="0"/>
        <w:autoSpaceDN w:val="0"/>
        <w:adjustRightInd w:val="0"/>
        <w:spacing w:before="3" w:line="280" w:lineRule="exact"/>
        <w:jc w:val="left"/>
        <w:rPr>
          <w:rFonts w:ascii="Microsoft JhengHei" w:hAnsi="Times New Roman" w:eastAsia="Microsoft JhengHei" w:cs="Microsoft JhengHei"/>
          <w:kern w:val="0"/>
          <w:sz w:val="28"/>
          <w:szCs w:val="28"/>
        </w:rPr>
      </w:pPr>
    </w:p>
    <w:p>
      <w:pPr>
        <w:autoSpaceDE w:val="0"/>
        <w:autoSpaceDN w:val="0"/>
        <w:adjustRightInd w:val="0"/>
        <w:ind w:left="3466" w:right="3469"/>
        <w:jc w:val="center"/>
        <w:rPr>
          <w:rFonts w:hint="eastAsia" w:ascii="宋体" w:hAnsi="宋体" w:eastAsia="宋体" w:cs="宋体"/>
          <w:kern w:val="0"/>
          <w:sz w:val="32"/>
          <w:szCs w:val="32"/>
        </w:rPr>
      </w:pPr>
      <w:r>
        <w:rPr>
          <w:rFonts w:hint="eastAsia" w:ascii="宋体" w:hAnsi="宋体" w:eastAsia="宋体" w:cs="宋体"/>
          <w:kern w:val="0"/>
          <w:sz w:val="32"/>
          <w:szCs w:val="32"/>
        </w:rPr>
        <w:t>2022</w:t>
      </w:r>
      <w:r>
        <w:rPr>
          <w:rFonts w:hint="eastAsia" w:ascii="宋体" w:hAnsi="宋体" w:eastAsia="宋体" w:cs="宋体"/>
          <w:kern w:val="0"/>
          <w:sz w:val="32"/>
          <w:szCs w:val="32"/>
          <w:lang w:val="en-US" w:eastAsia="zh-CN"/>
        </w:rPr>
        <w:t xml:space="preserve"> </w:t>
      </w:r>
      <w:r>
        <w:rPr>
          <w:rFonts w:hint="eastAsia" w:ascii="宋体" w:hAnsi="宋体" w:eastAsia="宋体" w:cs="宋体"/>
          <w:kern w:val="0"/>
          <w:sz w:val="32"/>
          <w:szCs w:val="32"/>
        </w:rPr>
        <w:t>年</w:t>
      </w:r>
      <w:r>
        <w:rPr>
          <w:rFonts w:hint="eastAsia" w:ascii="宋体" w:hAnsi="宋体" w:eastAsia="宋体" w:cs="宋体"/>
          <w:kern w:val="0"/>
          <w:sz w:val="32"/>
          <w:szCs w:val="32"/>
          <w:lang w:val="en-US" w:eastAsia="zh-CN"/>
        </w:rPr>
        <w:t xml:space="preserve"> </w:t>
      </w:r>
      <w:r>
        <w:rPr>
          <w:rFonts w:hint="eastAsia" w:ascii="宋体" w:hAnsi="宋体" w:eastAsia="宋体" w:cs="宋体"/>
          <w:spacing w:val="-3"/>
          <w:kern w:val="0"/>
          <w:sz w:val="32"/>
          <w:szCs w:val="32"/>
          <w:lang w:val="en-US" w:eastAsia="zh-CN"/>
        </w:rPr>
        <w:t>0</w:t>
      </w:r>
      <w:r>
        <w:rPr>
          <w:rFonts w:hint="eastAsia" w:ascii="宋体" w:hAnsi="宋体" w:eastAsia="宋体" w:cs="宋体"/>
          <w:spacing w:val="-3"/>
          <w:kern w:val="0"/>
          <w:sz w:val="32"/>
          <w:szCs w:val="32"/>
        </w:rPr>
        <w:t>3</w:t>
      </w:r>
      <w:r>
        <w:rPr>
          <w:rFonts w:hint="eastAsia" w:ascii="宋体" w:hAnsi="宋体" w:eastAsia="宋体" w:cs="宋体"/>
          <w:spacing w:val="-3"/>
          <w:kern w:val="0"/>
          <w:sz w:val="32"/>
          <w:szCs w:val="32"/>
          <w:lang w:val="en-US" w:eastAsia="zh-CN"/>
        </w:rPr>
        <w:t xml:space="preserve"> </w:t>
      </w:r>
      <w:r>
        <w:rPr>
          <w:rFonts w:hint="eastAsia" w:ascii="宋体" w:hAnsi="宋体" w:eastAsia="宋体" w:cs="宋体"/>
          <w:w w:val="99"/>
          <w:kern w:val="0"/>
          <w:sz w:val="32"/>
          <w:szCs w:val="32"/>
        </w:rPr>
        <w:t>月</w:t>
      </w:r>
    </w:p>
    <w:p>
      <w:pPr>
        <w:rPr>
          <w:rFonts w:hint="eastAsia" w:ascii="宋体" w:hAnsi="宋体" w:eastAsia="宋体" w:cs="宋体"/>
          <w:kern w:val="0"/>
          <w:sz w:val="32"/>
          <w:szCs w:val="32"/>
        </w:rPr>
      </w:pPr>
      <w:r>
        <w:rPr>
          <w:rFonts w:hint="eastAsia" w:ascii="宋体" w:hAnsi="宋体" w:eastAsia="宋体" w:cs="宋体"/>
          <w:kern w:val="0"/>
          <w:sz w:val="32"/>
          <w:szCs w:val="32"/>
        </w:rPr>
        <w:br w:type="page"/>
      </w:r>
    </w:p>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Microsoft JhengHei" w:hAnsi="Microsoft Tai Le" w:eastAsia="宋体" w:cs="Microsoft JhengHei"/>
          <w:kern w:val="0"/>
          <w:position w:val="-1"/>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Microsoft JhengHei" w:hAnsi="Microsoft Tai Le" w:eastAsia="宋体" w:cs="Microsoft JhengHei"/>
          <w:kern w:val="0"/>
          <w:position w:val="-1"/>
          <w:sz w:val="32"/>
          <w:szCs w:val="32"/>
          <w:lang w:val="en-US" w:eastAsia="zh-CN"/>
        </w:rPr>
      </w:pPr>
      <w:r>
        <w:rPr>
          <w:rFonts w:hint="eastAsia" w:ascii="Microsoft JhengHei" w:hAnsi="Microsoft Tai Le" w:eastAsia="宋体" w:cs="Microsoft JhengHei"/>
          <w:kern w:val="0"/>
          <w:position w:val="-1"/>
          <w:sz w:val="32"/>
          <w:szCs w:val="32"/>
          <w:lang w:val="en-US" w:eastAsia="zh-CN"/>
        </w:rPr>
        <w:t>目录</w:t>
      </w:r>
    </w:p>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Microsoft JhengHei" w:hAnsi="Microsoft Tai Le" w:eastAsia="宋体" w:cs="Microsoft JhengHei"/>
          <w:kern w:val="0"/>
          <w:position w:val="-1"/>
          <w:sz w:val="32"/>
          <w:szCs w:val="32"/>
          <w:lang w:val="en-US"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textAlignment w:val="auto"/>
        <w:rPr>
          <w:rFonts w:hint="eastAsia" w:ascii="宋体" w:hAnsi="宋体" w:eastAsia="宋体" w:cs="宋体"/>
          <w:kern w:val="0"/>
          <w:position w:val="-1"/>
          <w:sz w:val="28"/>
          <w:szCs w:val="28"/>
          <w:lang w:val="en-US" w:eastAsia="zh-CN"/>
        </w:rPr>
      </w:pPr>
      <w:r>
        <w:rPr>
          <w:rFonts w:hint="eastAsia" w:ascii="宋体" w:hAnsi="宋体" w:eastAsia="宋体" w:cs="宋体"/>
          <w:kern w:val="0"/>
          <w:position w:val="-1"/>
          <w:sz w:val="28"/>
          <w:szCs w:val="28"/>
          <w:lang w:val="en-US" w:eastAsia="zh-CN"/>
        </w:rPr>
        <w:t>任务来源.......................................................1</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textAlignment w:val="auto"/>
        <w:rPr>
          <w:rFonts w:hint="eastAsia" w:ascii="宋体" w:hAnsi="宋体" w:eastAsia="宋体" w:cs="宋体"/>
          <w:kern w:val="0"/>
          <w:position w:val="-1"/>
          <w:sz w:val="28"/>
          <w:szCs w:val="28"/>
          <w:lang w:val="en-US" w:eastAsia="zh-CN"/>
        </w:rPr>
      </w:pPr>
      <w:r>
        <w:rPr>
          <w:rFonts w:hint="eastAsia" w:ascii="宋体" w:hAnsi="宋体" w:eastAsia="宋体" w:cs="宋体"/>
          <w:kern w:val="0"/>
          <w:position w:val="-1"/>
          <w:sz w:val="28"/>
          <w:szCs w:val="28"/>
          <w:lang w:val="en-US" w:eastAsia="zh-CN"/>
        </w:rPr>
        <w:t>编制过程.......................................................1</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textAlignment w:val="auto"/>
        <w:rPr>
          <w:rFonts w:hint="eastAsia" w:ascii="宋体" w:hAnsi="宋体" w:eastAsia="宋体" w:cs="宋体"/>
          <w:kern w:val="0"/>
          <w:position w:val="-1"/>
          <w:sz w:val="28"/>
          <w:szCs w:val="28"/>
          <w:lang w:val="en-US" w:eastAsia="zh-CN"/>
        </w:rPr>
      </w:pPr>
      <w:r>
        <w:rPr>
          <w:rFonts w:hint="eastAsia" w:ascii="宋体" w:hAnsi="宋体" w:eastAsia="宋体" w:cs="宋体"/>
          <w:kern w:val="0"/>
          <w:position w:val="-1"/>
          <w:sz w:val="28"/>
          <w:szCs w:val="28"/>
          <w:lang w:val="en-US" w:eastAsia="zh-CN"/>
        </w:rPr>
        <w:t>行业概况.......................................................2</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textAlignment w:val="auto"/>
        <w:rPr>
          <w:rFonts w:hint="eastAsia" w:ascii="宋体" w:hAnsi="宋体" w:eastAsia="宋体" w:cs="宋体"/>
          <w:kern w:val="0"/>
          <w:position w:val="-1"/>
          <w:sz w:val="28"/>
          <w:szCs w:val="28"/>
          <w:lang w:val="en-US" w:eastAsia="zh-CN"/>
        </w:rPr>
      </w:pPr>
      <w:r>
        <w:rPr>
          <w:rFonts w:hint="eastAsia" w:ascii="宋体" w:hAnsi="宋体" w:eastAsia="宋体" w:cs="宋体"/>
          <w:kern w:val="0"/>
          <w:position w:val="-1"/>
          <w:sz w:val="28"/>
          <w:szCs w:val="28"/>
          <w:lang w:val="en-US" w:eastAsia="zh-CN"/>
        </w:rPr>
        <w:t>标准编制的意义.................................................3</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textAlignment w:val="auto"/>
        <w:rPr>
          <w:rFonts w:hint="eastAsia" w:ascii="宋体" w:hAnsi="宋体" w:eastAsia="宋体" w:cs="宋体"/>
          <w:kern w:val="0"/>
          <w:position w:val="-1"/>
          <w:sz w:val="28"/>
          <w:szCs w:val="28"/>
          <w:lang w:val="en-US" w:eastAsia="zh-CN"/>
        </w:rPr>
      </w:pPr>
      <w:r>
        <w:rPr>
          <w:rFonts w:hint="eastAsia" w:ascii="宋体" w:hAnsi="宋体" w:eastAsia="宋体" w:cs="宋体"/>
          <w:kern w:val="0"/>
          <w:position w:val="-1"/>
          <w:sz w:val="28"/>
          <w:szCs w:val="28"/>
          <w:lang w:val="en-US" w:eastAsia="zh-CN"/>
        </w:rPr>
        <w:t>编制方法及技术路线.............................................4</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textAlignment w:val="auto"/>
        <w:rPr>
          <w:rFonts w:hint="eastAsia" w:ascii="宋体" w:hAnsi="宋体" w:eastAsia="宋体" w:cs="宋体"/>
          <w:kern w:val="0"/>
          <w:position w:val="-1"/>
          <w:sz w:val="28"/>
          <w:szCs w:val="28"/>
          <w:lang w:val="en-US" w:eastAsia="zh-CN"/>
        </w:rPr>
      </w:pPr>
      <w:r>
        <w:rPr>
          <w:rFonts w:hint="eastAsia" w:ascii="宋体" w:hAnsi="宋体" w:eastAsia="宋体" w:cs="宋体"/>
          <w:kern w:val="0"/>
          <w:position w:val="-1"/>
          <w:sz w:val="28"/>
          <w:szCs w:val="28"/>
          <w:lang w:val="en-US" w:eastAsia="zh-CN"/>
        </w:rPr>
        <w:t>适用范围.......................................................6</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textAlignment w:val="auto"/>
        <w:rPr>
          <w:rFonts w:hint="eastAsia" w:ascii="宋体" w:hAnsi="宋体" w:eastAsia="宋体" w:cs="宋体"/>
          <w:kern w:val="0"/>
          <w:position w:val="-1"/>
          <w:sz w:val="28"/>
          <w:szCs w:val="28"/>
          <w:lang w:val="en-US" w:eastAsia="zh-CN"/>
        </w:rPr>
      </w:pPr>
      <w:r>
        <w:rPr>
          <w:rFonts w:hint="eastAsia" w:ascii="宋体" w:hAnsi="宋体" w:eastAsia="宋体" w:cs="宋体"/>
          <w:kern w:val="0"/>
          <w:position w:val="-1"/>
          <w:sz w:val="28"/>
          <w:szCs w:val="28"/>
          <w:lang w:val="en-US" w:eastAsia="zh-CN"/>
        </w:rPr>
        <w:t>编制依据及参考文献.............................................6</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textAlignment w:val="auto"/>
        <w:rPr>
          <w:rFonts w:hint="eastAsia" w:ascii="宋体" w:hAnsi="宋体" w:eastAsia="宋体" w:cs="宋体"/>
          <w:kern w:val="0"/>
          <w:position w:val="-1"/>
          <w:sz w:val="28"/>
          <w:szCs w:val="28"/>
          <w:lang w:val="en-US" w:eastAsia="zh-CN"/>
        </w:rPr>
      </w:pPr>
      <w:r>
        <w:rPr>
          <w:rFonts w:hint="eastAsia" w:ascii="宋体" w:hAnsi="宋体" w:eastAsia="宋体" w:cs="宋体"/>
          <w:kern w:val="0"/>
          <w:position w:val="-1"/>
          <w:sz w:val="28"/>
          <w:szCs w:val="28"/>
          <w:lang w:val="en-US" w:eastAsia="zh-CN"/>
        </w:rPr>
        <w:t>总则...........................................................7</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firstLine="0" w:firstLineChars="0"/>
        <w:textAlignment w:val="auto"/>
        <w:rPr>
          <w:rFonts w:hint="eastAsia" w:ascii="宋体" w:hAnsi="宋体" w:eastAsia="宋体" w:cs="宋体"/>
          <w:kern w:val="0"/>
          <w:position w:val="-1"/>
          <w:sz w:val="28"/>
          <w:szCs w:val="28"/>
          <w:lang w:val="en-US" w:eastAsia="zh-CN"/>
        </w:rPr>
      </w:pPr>
      <w:r>
        <w:rPr>
          <w:rFonts w:hint="eastAsia" w:ascii="宋体" w:hAnsi="宋体" w:eastAsia="宋体" w:cs="宋体"/>
          <w:kern w:val="0"/>
          <w:position w:val="-1"/>
          <w:sz w:val="28"/>
          <w:szCs w:val="28"/>
          <w:lang w:val="en-US" w:eastAsia="zh-CN"/>
        </w:rPr>
        <w:t>评价指标及要求.................................................8</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firstLine="0" w:firstLineChars="0"/>
        <w:textAlignment w:val="auto"/>
        <w:rPr>
          <w:rFonts w:hint="eastAsia" w:ascii="宋体" w:hAnsi="宋体" w:eastAsia="宋体" w:cs="宋体"/>
          <w:kern w:val="0"/>
          <w:position w:val="-1"/>
          <w:sz w:val="28"/>
          <w:szCs w:val="28"/>
          <w:lang w:val="en-US" w:eastAsia="zh-CN"/>
        </w:rPr>
      </w:pPr>
      <w:r>
        <w:rPr>
          <w:rFonts w:hint="eastAsia" w:ascii="宋体" w:hAnsi="宋体" w:eastAsia="宋体" w:cs="宋体"/>
          <w:kern w:val="0"/>
          <w:position w:val="-1"/>
          <w:sz w:val="28"/>
          <w:szCs w:val="28"/>
          <w:lang w:val="en-US" w:eastAsia="zh-CN"/>
        </w:rPr>
        <w:t>评价.........................................................11</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firstLine="0" w:firstLineChars="0"/>
        <w:textAlignment w:val="auto"/>
        <w:rPr>
          <w:rFonts w:hint="eastAsia" w:ascii="宋体" w:hAnsi="宋体" w:eastAsia="宋体" w:cs="宋体"/>
          <w:kern w:val="0"/>
          <w:position w:val="-1"/>
          <w:sz w:val="28"/>
          <w:szCs w:val="28"/>
          <w:lang w:val="en-US" w:eastAsia="zh-CN"/>
        </w:rPr>
      </w:pPr>
      <w:r>
        <w:rPr>
          <w:rFonts w:hint="eastAsia" w:ascii="宋体" w:hAnsi="宋体" w:eastAsia="宋体" w:cs="宋体"/>
          <w:kern w:val="0"/>
          <w:position w:val="-1"/>
          <w:sz w:val="28"/>
          <w:szCs w:val="28"/>
          <w:lang w:val="en-US" w:eastAsia="zh-CN"/>
        </w:rPr>
        <w:t>标准实施和可行性分析.........................................13</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firstLine="0" w:firstLineChars="0"/>
        <w:textAlignment w:val="auto"/>
        <w:rPr>
          <w:rFonts w:hint="eastAsia" w:ascii="宋体" w:hAnsi="宋体" w:eastAsia="宋体" w:cs="宋体"/>
          <w:kern w:val="0"/>
          <w:position w:val="-1"/>
          <w:sz w:val="28"/>
          <w:szCs w:val="28"/>
          <w:lang w:val="en-US" w:eastAsia="zh-CN"/>
        </w:rPr>
      </w:pPr>
      <w:r>
        <w:rPr>
          <w:rFonts w:hint="eastAsia" w:ascii="宋体" w:hAnsi="宋体" w:eastAsia="宋体" w:cs="宋体"/>
          <w:kern w:val="0"/>
          <w:position w:val="-1"/>
          <w:sz w:val="28"/>
          <w:szCs w:val="28"/>
          <w:lang w:val="en-US" w:eastAsia="zh-CN"/>
        </w:rPr>
        <w:t>与国家标准、行业标准等的协调性...............................13</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0"/>
        <w:textAlignment w:val="auto"/>
        <w:rPr>
          <w:rFonts w:hint="default" w:ascii="宋体" w:hAnsi="宋体" w:eastAsia="宋体" w:cs="宋体"/>
          <w:kern w:val="0"/>
          <w:position w:val="-1"/>
          <w:sz w:val="28"/>
          <w:szCs w:val="28"/>
          <w:lang w:val="en-US" w:eastAsia="zh-CN"/>
        </w:rPr>
      </w:pPr>
      <w:r>
        <w:rPr>
          <w:rFonts w:hint="eastAsia" w:ascii="宋体" w:hAnsi="宋体" w:eastAsia="宋体" w:cs="宋体"/>
          <w:kern w:val="0"/>
          <w:position w:val="-1"/>
          <w:sz w:val="28"/>
          <w:szCs w:val="28"/>
          <w:lang w:val="en-US" w:eastAsia="zh-CN"/>
        </w:rPr>
        <w:t>附件1 标准起草组会议讨论意见汇总表.........</w:t>
      </w:r>
      <w:bookmarkStart w:id="5" w:name="_GoBack"/>
      <w:bookmarkEnd w:id="5"/>
      <w:r>
        <w:rPr>
          <w:rFonts w:hint="eastAsia" w:ascii="宋体" w:hAnsi="宋体" w:eastAsia="宋体" w:cs="宋体"/>
          <w:kern w:val="0"/>
          <w:position w:val="-1"/>
          <w:sz w:val="28"/>
          <w:szCs w:val="28"/>
          <w:lang w:val="en-US" w:eastAsia="zh-CN"/>
        </w:rPr>
        <w:t>.....................14</w:t>
      </w:r>
    </w:p>
    <w:p>
      <w:pPr>
        <w:autoSpaceDE w:val="0"/>
        <w:autoSpaceDN w:val="0"/>
        <w:adjustRightInd w:val="0"/>
        <w:spacing w:before="120" w:beforeLines="50" w:after="120" w:afterLines="50" w:line="480" w:lineRule="exact"/>
        <w:jc w:val="left"/>
        <w:rPr>
          <w:rFonts w:hint="eastAsia" w:asciiTheme="minorEastAsia" w:hAnsiTheme="minorEastAsia" w:cstheme="minorEastAsia"/>
          <w:b/>
          <w:bCs/>
          <w:kern w:val="0"/>
          <w:position w:val="-2"/>
          <w:sz w:val="24"/>
          <w:szCs w:val="24"/>
        </w:rPr>
        <w:sectPr>
          <w:footerReference r:id="rId3" w:type="default"/>
          <w:pgSz w:w="11920" w:h="16840"/>
          <w:pgMar w:top="1320" w:right="1200" w:bottom="280" w:left="1300" w:header="0" w:footer="757" w:gutter="0"/>
          <w:pgNumType w:fmt="upperRoman"/>
          <w:cols w:space="720" w:num="1"/>
        </w:sectPr>
      </w:pPr>
    </w:p>
    <w:p>
      <w:pPr>
        <w:autoSpaceDE w:val="0"/>
        <w:autoSpaceDN w:val="0"/>
        <w:adjustRightInd w:val="0"/>
        <w:spacing w:before="120" w:beforeLines="50" w:after="120" w:afterLines="50" w:line="480" w:lineRule="exact"/>
        <w:jc w:val="left"/>
        <w:rPr>
          <w:rFonts w:asciiTheme="minorEastAsia" w:hAnsiTheme="minorEastAsia" w:cstheme="minorEastAsia"/>
          <w:b/>
          <w:bCs/>
          <w:kern w:val="0"/>
          <w:sz w:val="24"/>
          <w:szCs w:val="24"/>
        </w:rPr>
      </w:pPr>
      <w:r>
        <w:rPr>
          <w:rFonts w:hint="eastAsia" w:asciiTheme="minorEastAsia" w:hAnsiTheme="minorEastAsia" w:cstheme="minorEastAsia"/>
          <w:b/>
          <w:bCs/>
          <w:kern w:val="0"/>
          <w:position w:val="-2"/>
          <w:sz w:val="24"/>
          <w:szCs w:val="24"/>
        </w:rPr>
        <w:t xml:space="preserve">1 </w:t>
      </w:r>
      <w:r>
        <w:rPr>
          <w:rFonts w:hint="eastAsia" w:asciiTheme="minorEastAsia" w:hAnsiTheme="minorEastAsia" w:cstheme="minorEastAsia"/>
          <w:b/>
          <w:bCs/>
          <w:spacing w:val="1"/>
          <w:kern w:val="0"/>
          <w:position w:val="-2"/>
          <w:sz w:val="24"/>
          <w:szCs w:val="24"/>
        </w:rPr>
        <w:t xml:space="preserve"> </w:t>
      </w:r>
      <w:r>
        <w:rPr>
          <w:rFonts w:hint="eastAsia" w:asciiTheme="minorEastAsia" w:hAnsiTheme="minorEastAsia" w:cstheme="minorEastAsia"/>
          <w:b/>
          <w:bCs/>
          <w:kern w:val="0"/>
          <w:position w:val="-2"/>
          <w:sz w:val="24"/>
          <w:szCs w:val="24"/>
        </w:rPr>
        <w:t>任务来源</w:t>
      </w:r>
    </w:p>
    <w:p>
      <w:pPr>
        <w:autoSpaceDE w:val="0"/>
        <w:autoSpaceDN w:val="0"/>
        <w:adjustRightInd w:val="0"/>
        <w:spacing w:before="11" w:line="480" w:lineRule="exact"/>
        <w:ind w:left="119" w:right="51" w:firstLine="420"/>
        <w:jc w:val="left"/>
        <w:rPr>
          <w:rFonts w:asciiTheme="minorEastAsia" w:hAnsiTheme="minorEastAsia" w:cstheme="minorEastAsia"/>
          <w:kern w:val="0"/>
          <w:sz w:val="24"/>
          <w:szCs w:val="24"/>
        </w:rPr>
      </w:pPr>
      <w:r>
        <w:rPr>
          <w:rFonts w:hint="eastAsia" w:asciiTheme="minorEastAsia" w:hAnsiTheme="minorEastAsia" w:cstheme="minorEastAsia"/>
          <w:sz w:val="24"/>
          <w:szCs w:val="24"/>
        </w:rPr>
        <w:t>《中国制造2025》将“全面推动绿色制造”作为九大战略重点和任务之一，并提出“制定绿色产品、绿色工厂、绿色园区、绿色企业标准体系、开展绿色评价”的要求。 2015年，中共中央国务院印发《生态文明体制改革总体方案》，提出以“绿色发展、循环发展、低碳发展”为方向，建立统一的绿色产品标准、认证、标识等体系。</w:t>
      </w:r>
    </w:p>
    <w:p>
      <w:pPr>
        <w:autoSpaceDE w:val="0"/>
        <w:autoSpaceDN w:val="0"/>
        <w:adjustRightInd w:val="0"/>
        <w:spacing w:before="11"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我国目前是世界范围内具有影响力的工业大国，随着我国的工业实力不断增强，资源环境问题日益突出。目前工业部和信息化部已经出台了《绿色工厂评价通则》，为我国绿色工厂的建设提供了标准性指导。但具体到各行业来看，统一的通则并不能完全满足每个行业的需求。因此，针对不同行业，应有相对应的专用指导性绿色工厂标准。磷酸一铵、磷酸二铵行业作为传统化工行业，生产规模大，</w:t>
      </w:r>
      <w:r>
        <w:rPr>
          <w:rFonts w:hint="eastAsia" w:asciiTheme="minorEastAsia" w:hAnsiTheme="minorEastAsia" w:cstheme="minorEastAsia"/>
          <w:sz w:val="24"/>
          <w:szCs w:val="24"/>
          <w:lang w:val="en-US" w:eastAsia="zh-CN"/>
        </w:rPr>
        <w:t>生产企业</w:t>
      </w:r>
      <w:r>
        <w:rPr>
          <w:rFonts w:hint="eastAsia" w:asciiTheme="minorEastAsia" w:hAnsiTheme="minorEastAsia" w:cstheme="minorEastAsia"/>
          <w:sz w:val="24"/>
          <w:szCs w:val="24"/>
        </w:rPr>
        <w:t>多，制订专用化标准存在必要性。</w:t>
      </w:r>
    </w:p>
    <w:p>
      <w:pPr>
        <w:autoSpaceDE w:val="0"/>
        <w:autoSpaceDN w:val="0"/>
        <w:adjustRightInd w:val="0"/>
        <w:spacing w:before="11"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根据2021年9月6日工业和信息化部节能与综合利用司发布“2021年度工业节能与绿色标准研究项目公示”的内容，《磷酸一铵、磷酸二铵绿色工厂评价要求》标准列入2021年第五批行业标准编制计划，项目编号：2021-1731T-HG。</w:t>
      </w:r>
    </w:p>
    <w:p>
      <w:pPr>
        <w:autoSpaceDE w:val="0"/>
        <w:autoSpaceDN w:val="0"/>
        <w:adjustRightInd w:val="0"/>
        <w:spacing w:before="120" w:beforeLines="50" w:after="120" w:afterLines="50" w:line="480" w:lineRule="exact"/>
        <w:jc w:val="left"/>
        <w:rPr>
          <w:rFonts w:asciiTheme="minorEastAsia" w:hAnsiTheme="minorEastAsia" w:cstheme="minorEastAsia"/>
          <w:b/>
          <w:bCs/>
          <w:kern w:val="0"/>
          <w:position w:val="-2"/>
          <w:sz w:val="24"/>
          <w:szCs w:val="24"/>
        </w:rPr>
      </w:pPr>
      <w:r>
        <w:rPr>
          <w:rFonts w:hint="eastAsia" w:asciiTheme="minorEastAsia" w:hAnsiTheme="minorEastAsia" w:cstheme="minorEastAsia"/>
          <w:b/>
          <w:bCs/>
          <w:kern w:val="0"/>
          <w:position w:val="-2"/>
          <w:sz w:val="24"/>
          <w:szCs w:val="24"/>
        </w:rPr>
        <w:t>2  编制过程</w:t>
      </w:r>
    </w:p>
    <w:p>
      <w:pPr>
        <w:autoSpaceDE w:val="0"/>
        <w:autoSpaceDN w:val="0"/>
        <w:adjustRightIn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本标准在广泛收集国内外磷酸一铵、磷酸二铵</w:t>
      </w:r>
      <w:r>
        <w:rPr>
          <w:rFonts w:hint="eastAsia" w:asciiTheme="minorEastAsia" w:hAnsiTheme="minorEastAsia" w:cstheme="minorEastAsia"/>
          <w:sz w:val="24"/>
          <w:szCs w:val="24"/>
          <w:lang w:eastAsia="zh-CN"/>
        </w:rPr>
        <w:t>（</w:t>
      </w:r>
      <w:r>
        <w:rPr>
          <w:rFonts w:hint="eastAsia" w:asciiTheme="minorEastAsia" w:hAnsiTheme="minorEastAsia" w:cstheme="minorEastAsia"/>
          <w:sz w:val="24"/>
          <w:szCs w:val="24"/>
          <w:lang w:val="en-US" w:eastAsia="zh-CN"/>
        </w:rPr>
        <w:t>下文</w:t>
      </w:r>
      <w:r>
        <w:rPr>
          <w:rFonts w:hint="eastAsia" w:asciiTheme="minorEastAsia" w:hAnsiTheme="minorEastAsia" w:cstheme="minorEastAsia"/>
          <w:sz w:val="24"/>
          <w:szCs w:val="24"/>
        </w:rPr>
        <w:t>简称“磷铵”</w:t>
      </w:r>
      <w:r>
        <w:rPr>
          <w:rFonts w:hint="eastAsia" w:asciiTheme="minorEastAsia" w:hAnsiTheme="minorEastAsia" w:cstheme="minorEastAsia"/>
          <w:sz w:val="24"/>
          <w:szCs w:val="24"/>
          <w:lang w:eastAsia="zh-CN"/>
        </w:rPr>
        <w:t>）</w:t>
      </w:r>
      <w:r>
        <w:rPr>
          <w:rFonts w:hint="eastAsia" w:asciiTheme="minorEastAsia" w:hAnsiTheme="minorEastAsia" w:cstheme="minorEastAsia"/>
          <w:sz w:val="24"/>
          <w:szCs w:val="24"/>
        </w:rPr>
        <w:t>行业环境保护、清洁生产相关的政策、法律法规、标准等文献，广泛征求国内企业的意见，结合我国磷酸一铵、磷酸二铵行业技术、清洁生产和环保的现状，进行全面系统研究整理的基础上，完成了本标准编制工作。具体编制过程如下：</w:t>
      </w:r>
    </w:p>
    <w:p>
      <w:pPr>
        <w:autoSpaceDE w:val="0"/>
        <w:autoSpaceDN w:val="0"/>
        <w:adjustRightInd w:val="0"/>
        <w:spacing w:line="480" w:lineRule="exact"/>
        <w:ind w:firstLine="480" w:firstLineChars="200"/>
        <w:jc w:val="left"/>
        <w:rPr>
          <w:rFonts w:ascii="宋体" w:hAnsi="宋体" w:eastAsia="宋体" w:cs="宋体"/>
          <w:kern w:val="0"/>
          <w:szCs w:val="21"/>
        </w:rPr>
      </w:pPr>
      <w:r>
        <w:rPr>
          <w:rFonts w:hint="eastAsia" w:asciiTheme="minorEastAsia" w:hAnsiTheme="minorEastAsia" w:cstheme="minorEastAsia"/>
          <w:sz w:val="24"/>
          <w:szCs w:val="24"/>
        </w:rPr>
        <w:t>根据2021年9月6日工业和信息化部节能与综合利用司发布“2021年度工业节能与绿色标准研究项目公示”的内容，《磷酸一铵、磷酸二铵绿色工厂评价要求》标准列入2021年第五批行业标准编制计划，2021年9月27日参加了工业和信息化部节能与综合利用司组织的《磷酸一铵、磷酸二铵绿色工厂评价要求》标准立项答辩，项目正式立项，项目编号：2021-1731T-HG。</w:t>
      </w:r>
    </w:p>
    <w:p>
      <w:pPr>
        <w:autoSpaceDE w:val="0"/>
        <w:autoSpaceDN w:val="0"/>
        <w:adjustRightIn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通过立项后，立即按照标准制定程序要求，成立了起草小组，本行业标准的起草小组包含</w:t>
      </w:r>
      <w:bookmarkStart w:id="0" w:name="_Hlk98146638"/>
      <w:r>
        <w:rPr>
          <w:rFonts w:hint="eastAsia" w:asciiTheme="minorEastAsia" w:hAnsiTheme="minorEastAsia" w:cstheme="minorEastAsia"/>
          <w:sz w:val="24"/>
          <w:szCs w:val="24"/>
        </w:rPr>
        <w:t>上海化工研究</w:t>
      </w:r>
      <w:r>
        <w:rPr>
          <w:rFonts w:hint="eastAsia" w:asciiTheme="minorEastAsia" w:hAnsiTheme="minorEastAsia" w:cstheme="minorEastAsia"/>
          <w:sz w:val="24"/>
          <w:szCs w:val="24"/>
          <w:lang w:val="en-US" w:eastAsia="zh-CN"/>
        </w:rPr>
        <w:t>院</w:t>
      </w:r>
      <w:r>
        <w:rPr>
          <w:rFonts w:hint="eastAsia" w:asciiTheme="minorEastAsia" w:hAnsiTheme="minorEastAsia" w:cstheme="minorEastAsia"/>
          <w:sz w:val="24"/>
          <w:szCs w:val="24"/>
        </w:rPr>
        <w:t>有限公司副总经理商照聪、国家化肥质量检验检测中心（上海）总工程师杨一、上海化工院检测有限公司副总经理房朋、新洋丰农业科技股份有限公司副总裁陈宏坤、</w:t>
      </w:r>
      <w:bookmarkEnd w:id="0"/>
      <w:r>
        <w:rPr>
          <w:rFonts w:hint="eastAsia" w:asciiTheme="minorEastAsia" w:hAnsiTheme="minorEastAsia" w:cstheme="minorEastAsia"/>
          <w:sz w:val="24"/>
          <w:szCs w:val="24"/>
        </w:rPr>
        <w:t>温岭市泽国化工机械有限公司总工程师段伟等。2021年11月，上海化工研究院有限公司（标准负责起草单位）就行业标准文本再次向全国行业内相关企业进行征求意见，</w:t>
      </w:r>
      <w:bookmarkStart w:id="1" w:name="_Hlk98147116"/>
      <w:r>
        <w:rPr>
          <w:rFonts w:hint="eastAsia" w:asciiTheme="minorEastAsia" w:hAnsiTheme="minorEastAsia" w:cstheme="minorEastAsia"/>
          <w:sz w:val="24"/>
          <w:szCs w:val="24"/>
        </w:rPr>
        <w:t>主要征集了新洋丰农业科技股份有限公司、中国磷复肥工业协会、贵州磷化（集团）有限责任公司</w:t>
      </w:r>
      <w:bookmarkEnd w:id="1"/>
      <w:r>
        <w:rPr>
          <w:rFonts w:hint="eastAsia" w:asciiTheme="minorEastAsia" w:hAnsiTheme="minorEastAsia" w:cstheme="minorEastAsia"/>
          <w:sz w:val="24"/>
          <w:szCs w:val="24"/>
        </w:rPr>
        <w:t>、</w:t>
      </w:r>
      <w:bookmarkStart w:id="2" w:name="_Hlk98147134"/>
      <w:r>
        <w:rPr>
          <w:rFonts w:hint="eastAsia" w:asciiTheme="minorEastAsia" w:hAnsiTheme="minorEastAsia" w:cstheme="minorEastAsia"/>
          <w:sz w:val="24"/>
          <w:szCs w:val="24"/>
        </w:rPr>
        <w:t>湖北三宁化工股份有限公司</w:t>
      </w:r>
      <w:bookmarkEnd w:id="2"/>
      <w:r>
        <w:rPr>
          <w:rFonts w:hint="eastAsia" w:asciiTheme="minorEastAsia" w:hAnsiTheme="minorEastAsia" w:cstheme="minorEastAsia"/>
          <w:sz w:val="24"/>
          <w:szCs w:val="24"/>
        </w:rPr>
        <w:t>、中国-阿拉伯化肥有限公司、史丹利农业集团股份有限公司、黑龙江爱农复合肥料有限公司、山东省化肥总公司、江西开门子肥业集团有限公司、云南云天化股份有限公司、山东金正大生态工程股份有限公司等单位的意见建议。2022年3月份，上海化工研究院有限公司通过腾讯会议APP召开了线上专家组扩大会议，在会上专家组成员和工作组就该标准进行了专题讨论，经充分讨论，采纳并确定了部分文本内容修改的意见建议，并最终形成行业标准的征求意见稿。</w:t>
      </w:r>
    </w:p>
    <w:p>
      <w:pPr>
        <w:autoSpaceDE w:val="0"/>
        <w:autoSpaceDN w:val="0"/>
        <w:adjustRightInd w:val="0"/>
        <w:spacing w:before="120" w:beforeLines="50" w:after="120" w:afterLines="50" w:line="480" w:lineRule="exact"/>
        <w:jc w:val="left"/>
        <w:rPr>
          <w:rFonts w:ascii="宋体" w:hAnsi="宋体" w:eastAsia="宋体" w:cs="宋体"/>
          <w:kern w:val="0"/>
          <w:szCs w:val="21"/>
        </w:rPr>
      </w:pPr>
      <w:r>
        <w:rPr>
          <w:rFonts w:hint="eastAsia" w:asciiTheme="minorEastAsia" w:hAnsiTheme="minorEastAsia" w:cstheme="minorEastAsia"/>
          <w:b/>
          <w:bCs/>
          <w:kern w:val="0"/>
          <w:position w:val="-2"/>
          <w:sz w:val="24"/>
          <w:szCs w:val="24"/>
        </w:rPr>
        <w:t>3  行业概况</w:t>
      </w:r>
    </w:p>
    <w:p>
      <w:pPr>
        <w:autoSpaceDE w:val="0"/>
        <w:autoSpaceDN w:val="0"/>
        <w:adjustRightInd w:val="0"/>
        <w:spacing w:before="120" w:beforeLines="50" w:after="120" w:afterLines="50" w:line="480" w:lineRule="exact"/>
        <w:jc w:val="left"/>
        <w:rPr>
          <w:rFonts w:ascii="宋体" w:hAnsi="宋体" w:eastAsia="宋体" w:cs="宋体"/>
          <w:kern w:val="0"/>
          <w:szCs w:val="21"/>
        </w:rPr>
      </w:pPr>
      <w:r>
        <w:rPr>
          <w:rFonts w:hint="eastAsia" w:asciiTheme="minorEastAsia" w:hAnsiTheme="minorEastAsia" w:cstheme="minorEastAsia"/>
          <w:b/>
          <w:bCs/>
          <w:kern w:val="0"/>
          <w:position w:val="-2"/>
          <w:sz w:val="24"/>
          <w:szCs w:val="24"/>
        </w:rPr>
        <w:t>3.1   行业发展现状</w:t>
      </w:r>
    </w:p>
    <w:p>
      <w:pPr>
        <w:autoSpaceDE w:val="0"/>
        <w:autoSpaceDN w:val="0"/>
        <w:adjustRightIn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磷酸二氢铵，化学制剂，又称为磷酸一铵，是一种白色的晶体，化学式为NH</w:t>
      </w:r>
      <w:r>
        <w:rPr>
          <w:rFonts w:hint="eastAsia" w:asciiTheme="minorEastAsia" w:hAnsiTheme="minorEastAsia" w:cstheme="minorEastAsia"/>
          <w:sz w:val="24"/>
          <w:szCs w:val="24"/>
          <w:vertAlign w:val="subscript"/>
        </w:rPr>
        <w:t>4</w:t>
      </w:r>
      <w:r>
        <w:rPr>
          <w:rFonts w:hint="eastAsia" w:asciiTheme="minorEastAsia" w:hAnsiTheme="minorEastAsia" w:cstheme="minorEastAsia"/>
          <w:sz w:val="24"/>
          <w:szCs w:val="24"/>
        </w:rPr>
        <w:t>H</w:t>
      </w:r>
      <w:r>
        <w:rPr>
          <w:rFonts w:hint="eastAsia" w:asciiTheme="minorEastAsia" w:hAnsiTheme="minorEastAsia" w:cstheme="minorEastAsia"/>
          <w:sz w:val="24"/>
          <w:szCs w:val="24"/>
          <w:vertAlign w:val="subscript"/>
        </w:rPr>
        <w:t>2</w:t>
      </w:r>
      <w:r>
        <w:rPr>
          <w:rFonts w:hint="eastAsia" w:asciiTheme="minorEastAsia" w:hAnsiTheme="minorEastAsia" w:cstheme="minorEastAsia"/>
          <w:sz w:val="24"/>
          <w:szCs w:val="24"/>
        </w:rPr>
        <w:t>PO</w:t>
      </w:r>
      <w:r>
        <w:rPr>
          <w:rFonts w:hint="eastAsia" w:asciiTheme="minorEastAsia" w:hAnsiTheme="minorEastAsia" w:cstheme="minorEastAsia"/>
          <w:sz w:val="24"/>
          <w:szCs w:val="24"/>
          <w:vertAlign w:val="subscript"/>
        </w:rPr>
        <w:t>4</w:t>
      </w:r>
      <w:r>
        <w:rPr>
          <w:rFonts w:hint="eastAsia" w:asciiTheme="minorEastAsia" w:hAnsiTheme="minorEastAsia" w:cstheme="minorEastAsia"/>
          <w:sz w:val="24"/>
          <w:szCs w:val="24"/>
        </w:rPr>
        <w:t>，加热会分解成偏磷酸铵（NH</w:t>
      </w:r>
      <w:r>
        <w:rPr>
          <w:rFonts w:hint="eastAsia" w:asciiTheme="minorEastAsia" w:hAnsiTheme="minorEastAsia" w:cstheme="minorEastAsia"/>
          <w:sz w:val="24"/>
          <w:szCs w:val="24"/>
          <w:vertAlign w:val="subscript"/>
        </w:rPr>
        <w:t>4</w:t>
      </w:r>
      <w:r>
        <w:rPr>
          <w:rFonts w:hint="eastAsia" w:asciiTheme="minorEastAsia" w:hAnsiTheme="minorEastAsia" w:cstheme="minorEastAsia"/>
          <w:sz w:val="24"/>
          <w:szCs w:val="24"/>
        </w:rPr>
        <w:t>PO</w:t>
      </w:r>
      <w:r>
        <w:rPr>
          <w:rFonts w:hint="eastAsia" w:asciiTheme="minorEastAsia" w:hAnsiTheme="minorEastAsia" w:cstheme="minorEastAsia"/>
          <w:sz w:val="24"/>
          <w:szCs w:val="24"/>
          <w:vertAlign w:val="subscript"/>
        </w:rPr>
        <w:t>3</w:t>
      </w:r>
      <w:r>
        <w:rPr>
          <w:rFonts w:hint="eastAsia" w:asciiTheme="minorEastAsia" w:hAnsiTheme="minorEastAsia" w:cstheme="minorEastAsia"/>
          <w:sz w:val="24"/>
          <w:szCs w:val="24"/>
        </w:rPr>
        <w:t>），可用氨水和磷酸反应制成，主要用作肥料和木材、纸张、织物的防火剂，也用于制药和</w:t>
      </w:r>
      <w:r>
        <w:rPr>
          <w:rFonts w:hint="eastAsia"/>
        </w:rPr>
        <w:fldChar w:fldCharType="begin"/>
      </w:r>
      <w:r>
        <w:instrText xml:space="preserve"> HYPERLINK "https://baike.baidu.com/item/%E5%8F%8D%E5%88%8D%E5%8A%A8%E7%89%A9/2498993" \t "https://baike.baidu.com/item/%E7%A3%B7%E9%85%B8%E4%BA%8C%E6%B0%A2%E9%93%B5/_blank" </w:instrText>
      </w:r>
      <w:r>
        <w:rPr>
          <w:rFonts w:hint="eastAsia"/>
        </w:rPr>
        <w:fldChar w:fldCharType="separate"/>
      </w:r>
      <w:r>
        <w:rPr>
          <w:rFonts w:hint="eastAsia" w:asciiTheme="minorEastAsia" w:hAnsiTheme="minorEastAsia" w:cstheme="minorEastAsia"/>
          <w:sz w:val="24"/>
          <w:szCs w:val="24"/>
        </w:rPr>
        <w:t>反刍动物</w:t>
      </w:r>
      <w:r>
        <w:rPr>
          <w:rFonts w:hint="eastAsia" w:asciiTheme="minorEastAsia" w:hAnsiTheme="minorEastAsia" w:cstheme="minorEastAsia"/>
          <w:sz w:val="24"/>
          <w:szCs w:val="24"/>
        </w:rPr>
        <w:fldChar w:fldCharType="end"/>
      </w:r>
      <w:r>
        <w:rPr>
          <w:rFonts w:hint="eastAsia" w:asciiTheme="minorEastAsia" w:hAnsiTheme="minorEastAsia" w:cstheme="minorEastAsia"/>
          <w:sz w:val="24"/>
          <w:szCs w:val="24"/>
        </w:rPr>
        <w:t>饲料添加剂。</w:t>
      </w:r>
    </w:p>
    <w:p>
      <w:pPr>
        <w:autoSpaceDE w:val="0"/>
        <w:autoSpaceDN w:val="0"/>
        <w:adjustRightIn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磷酸氢二铵，又称磷酸二铵，是一种无机物，分子式(NH</w:t>
      </w:r>
      <w:r>
        <w:rPr>
          <w:rFonts w:hint="eastAsia" w:asciiTheme="minorEastAsia" w:hAnsiTheme="minorEastAsia" w:cstheme="minorEastAsia"/>
          <w:sz w:val="24"/>
          <w:szCs w:val="24"/>
          <w:vertAlign w:val="subscript"/>
        </w:rPr>
        <w:t>4</w:t>
      </w:r>
      <w:r>
        <w:rPr>
          <w:rFonts w:hint="eastAsia" w:asciiTheme="minorEastAsia" w:hAnsiTheme="minorEastAsia" w:cstheme="minorEastAsia"/>
          <w:sz w:val="24"/>
          <w:szCs w:val="24"/>
        </w:rPr>
        <w:t>)</w:t>
      </w:r>
      <w:r>
        <w:rPr>
          <w:rFonts w:hint="eastAsia" w:asciiTheme="minorEastAsia" w:hAnsiTheme="minorEastAsia" w:cstheme="minorEastAsia"/>
          <w:sz w:val="24"/>
          <w:szCs w:val="24"/>
          <w:vertAlign w:val="subscript"/>
        </w:rPr>
        <w:t>2</w:t>
      </w:r>
      <w:r>
        <w:rPr>
          <w:rFonts w:hint="eastAsia" w:asciiTheme="minorEastAsia" w:hAnsiTheme="minorEastAsia" w:cstheme="minorEastAsia"/>
          <w:sz w:val="24"/>
          <w:szCs w:val="24"/>
        </w:rPr>
        <w:t>HPO</w:t>
      </w:r>
      <w:r>
        <w:rPr>
          <w:rFonts w:hint="eastAsia" w:asciiTheme="minorEastAsia" w:hAnsiTheme="minorEastAsia" w:cstheme="minorEastAsia"/>
          <w:sz w:val="24"/>
          <w:szCs w:val="24"/>
          <w:vertAlign w:val="subscript"/>
        </w:rPr>
        <w:t>4</w:t>
      </w:r>
      <w:r>
        <w:rPr>
          <w:rFonts w:hint="eastAsia" w:asciiTheme="minorEastAsia" w:hAnsiTheme="minorEastAsia" w:cstheme="minorEastAsia"/>
          <w:sz w:val="24"/>
          <w:szCs w:val="24"/>
        </w:rPr>
        <w:t>，无色透明单斜晶体或白色粉末，广泛用于印刷制版、医药、防火、电子管等，是一种广泛适用于蔬菜、水果、水稻和小麦的高效肥料，工业上用作</w:t>
      </w:r>
      <w:r>
        <w:fldChar w:fldCharType="begin"/>
      </w:r>
      <w:r>
        <w:instrText xml:space="preserve"> HYPERLINK "https://baike.baidu.com/item/%E9%A5%B2%E6%96%99%E6%B7%BB%E5%8A%A0%E5%89%82/8234612" \t "https://baike.baidu.com/item/%E7%A3%B7%E9%85%B8%E6%B0%A2%E4%BA%8C%E9%93%B5/_blank" </w:instrText>
      </w:r>
      <w:r>
        <w:fldChar w:fldCharType="separate"/>
      </w:r>
      <w:r>
        <w:rPr>
          <w:rFonts w:hint="eastAsia" w:asciiTheme="minorEastAsia" w:hAnsiTheme="minorEastAsia" w:cstheme="minorEastAsia"/>
          <w:sz w:val="24"/>
          <w:szCs w:val="24"/>
        </w:rPr>
        <w:t>饲料添加剂</w:t>
      </w:r>
      <w:r>
        <w:rPr>
          <w:rFonts w:hint="eastAsia" w:asciiTheme="minorEastAsia" w:hAnsiTheme="minorEastAsia" w:cstheme="minorEastAsia"/>
          <w:sz w:val="24"/>
          <w:szCs w:val="24"/>
        </w:rPr>
        <w:fldChar w:fldCharType="end"/>
      </w:r>
      <w:r>
        <w:rPr>
          <w:rFonts w:hint="eastAsia" w:asciiTheme="minorEastAsia" w:hAnsiTheme="minorEastAsia" w:cstheme="minorEastAsia"/>
          <w:sz w:val="24"/>
          <w:szCs w:val="24"/>
        </w:rPr>
        <w:t>、阻燃剂和灭火剂的配料等。</w:t>
      </w:r>
    </w:p>
    <w:p>
      <w:pPr>
        <w:autoSpaceDE w:val="0"/>
        <w:autoSpaceDN w:val="0"/>
        <w:adjustRightIn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在我国磷肥主要包括磷酸一铵、磷酸二铵和重过磷酸钙等，其中前两者占比超85%。2</w:t>
      </w:r>
      <w:r>
        <w:rPr>
          <w:rFonts w:asciiTheme="minorEastAsia" w:hAnsiTheme="minorEastAsia" w:cstheme="minorEastAsia"/>
          <w:sz w:val="24"/>
          <w:szCs w:val="24"/>
        </w:rPr>
        <w:t>020</w:t>
      </w:r>
      <w:r>
        <w:rPr>
          <w:rFonts w:hint="eastAsia" w:asciiTheme="minorEastAsia" w:hAnsiTheme="minorEastAsia" w:cstheme="minorEastAsia"/>
          <w:sz w:val="24"/>
          <w:szCs w:val="24"/>
        </w:rPr>
        <w:t>年磷酸二铵(实物量)产能约为1960万吨，产量约1464万吨，国内供应量约891万吨；磷酸一铵(实物量)产能约1815万吨万吨，产量约1513万吨，国内供应量约1200万吨。磷酸一铵、磷酸二铵的生产对于我国农业具有重要的支撑作用。但目前，我国的磷</w:t>
      </w:r>
      <w:r>
        <w:rPr>
          <w:rFonts w:hint="eastAsia" w:asciiTheme="minorEastAsia" w:hAnsiTheme="minorEastAsia" w:cstheme="minorEastAsia"/>
          <w:sz w:val="24"/>
          <w:szCs w:val="24"/>
          <w:lang w:val="en-US" w:eastAsia="zh-CN"/>
        </w:rPr>
        <w:t>酸一</w:t>
      </w:r>
      <w:r>
        <w:rPr>
          <w:rFonts w:hint="eastAsia" w:asciiTheme="minorEastAsia" w:hAnsiTheme="minorEastAsia" w:cstheme="minorEastAsia"/>
          <w:sz w:val="24"/>
          <w:szCs w:val="24"/>
        </w:rPr>
        <w:t>铵</w:t>
      </w:r>
      <w:r>
        <w:rPr>
          <w:rFonts w:hint="eastAsia" w:asciiTheme="minorEastAsia" w:hAnsiTheme="minorEastAsia" w:cstheme="minorEastAsia"/>
          <w:sz w:val="24"/>
          <w:szCs w:val="24"/>
          <w:lang w:eastAsia="zh-CN"/>
        </w:rPr>
        <w:t>、</w:t>
      </w:r>
      <w:r>
        <w:rPr>
          <w:rFonts w:hint="eastAsia" w:asciiTheme="minorEastAsia" w:hAnsiTheme="minorEastAsia" w:cstheme="minorEastAsia"/>
          <w:sz w:val="24"/>
          <w:szCs w:val="24"/>
          <w:lang w:val="en-US" w:eastAsia="zh-CN"/>
        </w:rPr>
        <w:t>磷酸二铵</w:t>
      </w:r>
      <w:r>
        <w:rPr>
          <w:rFonts w:hint="eastAsia" w:asciiTheme="minorEastAsia" w:hAnsiTheme="minorEastAsia" w:cstheme="minorEastAsia"/>
          <w:sz w:val="24"/>
          <w:szCs w:val="24"/>
        </w:rPr>
        <w:t>整体生产能力明显呈现产能过剩的现象，且在磷</w:t>
      </w:r>
      <w:r>
        <w:rPr>
          <w:rFonts w:hint="eastAsia" w:asciiTheme="minorEastAsia" w:hAnsiTheme="minorEastAsia" w:cstheme="minorEastAsia"/>
          <w:sz w:val="24"/>
          <w:szCs w:val="24"/>
          <w:lang w:val="en-US" w:eastAsia="zh-CN"/>
        </w:rPr>
        <w:t>酸一</w:t>
      </w:r>
      <w:r>
        <w:rPr>
          <w:rFonts w:hint="eastAsia" w:asciiTheme="minorEastAsia" w:hAnsiTheme="minorEastAsia" w:cstheme="minorEastAsia"/>
          <w:sz w:val="24"/>
          <w:szCs w:val="24"/>
        </w:rPr>
        <w:t>铵</w:t>
      </w:r>
      <w:r>
        <w:rPr>
          <w:rFonts w:hint="eastAsia" w:asciiTheme="minorEastAsia" w:hAnsiTheme="minorEastAsia" w:cstheme="minorEastAsia"/>
          <w:sz w:val="24"/>
          <w:szCs w:val="24"/>
          <w:lang w:eastAsia="zh-CN"/>
        </w:rPr>
        <w:t>、</w:t>
      </w:r>
      <w:r>
        <w:rPr>
          <w:rFonts w:hint="eastAsia" w:asciiTheme="minorEastAsia" w:hAnsiTheme="minorEastAsia" w:cstheme="minorEastAsia"/>
          <w:sz w:val="24"/>
          <w:szCs w:val="24"/>
          <w:lang w:val="en-US" w:eastAsia="zh-CN"/>
        </w:rPr>
        <w:t>磷酸二铵</w:t>
      </w:r>
      <w:r>
        <w:rPr>
          <w:rFonts w:hint="eastAsia" w:asciiTheme="minorEastAsia" w:hAnsiTheme="minorEastAsia" w:cstheme="minorEastAsia"/>
          <w:sz w:val="24"/>
          <w:szCs w:val="24"/>
        </w:rPr>
        <w:t>产品生产过程中，工厂基础设备能耗过度，建筑用材和结构不合理现象凸显，资源环境问题也日益突出。构建磷酸一铵、磷酸二铵行业绿色制造体系，使磷</w:t>
      </w:r>
      <w:r>
        <w:rPr>
          <w:rFonts w:hint="eastAsia" w:asciiTheme="minorEastAsia" w:hAnsiTheme="minorEastAsia" w:cstheme="minorEastAsia"/>
          <w:sz w:val="24"/>
          <w:szCs w:val="24"/>
          <w:lang w:val="en-US" w:eastAsia="zh-CN"/>
        </w:rPr>
        <w:t>酸一</w:t>
      </w:r>
      <w:r>
        <w:rPr>
          <w:rFonts w:hint="eastAsia" w:asciiTheme="minorEastAsia" w:hAnsiTheme="minorEastAsia" w:cstheme="minorEastAsia"/>
          <w:sz w:val="24"/>
          <w:szCs w:val="24"/>
        </w:rPr>
        <w:t>铵</w:t>
      </w:r>
      <w:r>
        <w:rPr>
          <w:rFonts w:hint="eastAsia" w:asciiTheme="minorEastAsia" w:hAnsiTheme="minorEastAsia" w:cstheme="minorEastAsia"/>
          <w:sz w:val="24"/>
          <w:szCs w:val="24"/>
          <w:lang w:eastAsia="zh-CN"/>
        </w:rPr>
        <w:t>、</w:t>
      </w:r>
      <w:r>
        <w:rPr>
          <w:rFonts w:hint="eastAsia" w:asciiTheme="minorEastAsia" w:hAnsiTheme="minorEastAsia" w:cstheme="minorEastAsia"/>
          <w:sz w:val="24"/>
          <w:szCs w:val="24"/>
          <w:lang w:val="en-US" w:eastAsia="zh-CN"/>
        </w:rPr>
        <w:t>磷酸二铵</w:t>
      </w:r>
      <w:r>
        <w:rPr>
          <w:rFonts w:hint="eastAsia" w:asciiTheme="minorEastAsia" w:hAnsiTheme="minorEastAsia" w:cstheme="minorEastAsia"/>
          <w:sz w:val="24"/>
          <w:szCs w:val="24"/>
        </w:rPr>
        <w:t>制备工厂在生产时注重生产过程中减少资源浪费，使资源更合理化运用，带动磷铵生产企业研究建立高效、环保的绿色工厂，从高端、绿色、集约、环保、科学方向为出发点改善工厂整体的生产体系及环境，引领磷铵生产技术的发展，使行业向更好、更绿色的方向发展，提升行业的竞争力。</w:t>
      </w:r>
    </w:p>
    <w:p>
      <w:pPr>
        <w:autoSpaceDE w:val="0"/>
        <w:autoSpaceDN w:val="0"/>
        <w:adjustRightInd w:val="0"/>
        <w:spacing w:before="120" w:beforeLines="50" w:after="120" w:afterLines="50" w:line="480" w:lineRule="exact"/>
        <w:jc w:val="left"/>
        <w:rPr>
          <w:rFonts w:asciiTheme="minorEastAsia" w:hAnsiTheme="minorEastAsia" w:cstheme="minorEastAsia"/>
          <w:b/>
          <w:bCs/>
          <w:kern w:val="0"/>
          <w:position w:val="-2"/>
          <w:sz w:val="24"/>
          <w:szCs w:val="24"/>
        </w:rPr>
      </w:pPr>
      <w:r>
        <w:rPr>
          <w:rFonts w:hint="eastAsia" w:asciiTheme="minorEastAsia" w:hAnsiTheme="minorEastAsia" w:cstheme="minorEastAsia"/>
          <w:b/>
          <w:bCs/>
          <w:kern w:val="0"/>
          <w:position w:val="-2"/>
          <w:sz w:val="24"/>
          <w:szCs w:val="24"/>
        </w:rPr>
        <w:t>3.2   行业存在主要问题</w:t>
      </w:r>
    </w:p>
    <w:p>
      <w:pPr>
        <w:autoSpaceDE w:val="0"/>
        <w:autoSpaceDN w:val="0"/>
        <w:adjustRightIn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（1）产能过剩；</w:t>
      </w:r>
    </w:p>
    <w:p>
      <w:pPr>
        <w:autoSpaceDE w:val="0"/>
        <w:autoSpaceDN w:val="0"/>
        <w:adjustRightIn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（2）基础设备损耗过度，建筑用材和结构不合理现象凸显，节能减排压力大；</w:t>
      </w:r>
    </w:p>
    <w:p>
      <w:pPr>
        <w:autoSpaceDE w:val="0"/>
        <w:autoSpaceDN w:val="0"/>
        <w:adjustRightIn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（3）需节能减排；</w:t>
      </w:r>
    </w:p>
    <w:p>
      <w:pPr>
        <w:autoSpaceDE w:val="0"/>
        <w:autoSpaceDN w:val="0"/>
        <w:adjustRightIn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（4）原料损耗过多；</w:t>
      </w:r>
    </w:p>
    <w:p>
      <w:pPr>
        <w:autoSpaceDE w:val="0"/>
        <w:autoSpaceDN w:val="0"/>
        <w:adjustRightInd w:val="0"/>
        <w:spacing w:line="480" w:lineRule="exact"/>
        <w:ind w:firstLine="480" w:firstLineChars="200"/>
        <w:jc w:val="left"/>
        <w:rPr>
          <w:rFonts w:ascii="宋体" w:hAnsi="宋体" w:eastAsia="宋体" w:cs="宋体"/>
          <w:kern w:val="0"/>
          <w:szCs w:val="21"/>
        </w:rPr>
      </w:pPr>
      <w:r>
        <w:rPr>
          <w:rFonts w:hint="eastAsia" w:asciiTheme="minorEastAsia" w:hAnsiTheme="minorEastAsia" w:cstheme="minorEastAsia"/>
          <w:sz w:val="24"/>
          <w:szCs w:val="24"/>
        </w:rPr>
        <w:t>（5）技术创新能力有待进一步提升。</w:t>
      </w:r>
    </w:p>
    <w:p>
      <w:pPr>
        <w:autoSpaceDE w:val="0"/>
        <w:autoSpaceDN w:val="0"/>
        <w:adjustRightInd w:val="0"/>
        <w:spacing w:before="120" w:beforeLines="50" w:after="120" w:afterLines="50" w:line="480" w:lineRule="exact"/>
        <w:jc w:val="left"/>
        <w:rPr>
          <w:rFonts w:ascii="宋体" w:hAnsi="宋体" w:eastAsia="宋体" w:cs="宋体"/>
          <w:kern w:val="0"/>
          <w:szCs w:val="21"/>
        </w:rPr>
      </w:pPr>
      <w:r>
        <w:rPr>
          <w:rFonts w:hint="eastAsia" w:asciiTheme="minorEastAsia" w:hAnsiTheme="minorEastAsia" w:cstheme="minorEastAsia"/>
          <w:b/>
          <w:bCs/>
          <w:kern w:val="0"/>
          <w:position w:val="-2"/>
          <w:sz w:val="24"/>
          <w:szCs w:val="24"/>
        </w:rPr>
        <w:t>3.3   行业发展趋势</w:t>
      </w:r>
    </w:p>
    <w:p>
      <w:pPr>
        <w:autoSpaceDE w:val="0"/>
        <w:autoSpaceDN w:val="0"/>
        <w:adjustRightIn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根据官方统计2020年度我国磷酸一铵(实物量)产能为1815万吨，产量1513万吨，开工率约83.4%，国内供应量1200万吨；2020年磷酸二铵(实物量)产能为1960万吨，产量1464万吨，开工率约74.7%，国内供应量891万吨。磷酸一铵、磷酸二铵的生产对于我国农业具有重要的支撑作用。但目前，我国的磷铵整体生产能力明显呈现产能过剩的现象，且在磷铵产品生产过程中，工厂基础设备能耗过度，磷石膏堆存处理等资源环境问题也日益突出。</w:t>
      </w:r>
    </w:p>
    <w:p>
      <w:pPr>
        <w:autoSpaceDE w:val="0"/>
        <w:autoSpaceDN w:val="0"/>
        <w:adjustRightIn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我国作为农业大国，种植</w:t>
      </w:r>
      <w:r>
        <w:rPr>
          <w:rFonts w:hint="eastAsia" w:asciiTheme="minorEastAsia" w:hAnsiTheme="minorEastAsia" w:cstheme="minorEastAsia"/>
          <w:sz w:val="24"/>
          <w:szCs w:val="24"/>
          <w:lang w:val="en-US" w:eastAsia="zh-CN"/>
        </w:rPr>
        <w:t>业</w:t>
      </w:r>
      <w:r>
        <w:rPr>
          <w:rFonts w:hint="eastAsia" w:asciiTheme="minorEastAsia" w:hAnsiTheme="minorEastAsia" w:cstheme="minorEastAsia"/>
          <w:sz w:val="24"/>
          <w:szCs w:val="24"/>
        </w:rPr>
        <w:t>动对肥料依赖性强，长期来看，离不开磷酸一铵和磷酸二铵的投</w:t>
      </w:r>
      <w:r>
        <w:rPr>
          <w:rFonts w:hint="eastAsia" w:asciiTheme="minorEastAsia" w:hAnsiTheme="minorEastAsia" w:cstheme="minorEastAsia"/>
          <w:sz w:val="24"/>
          <w:szCs w:val="24"/>
          <w:lang w:val="en-US" w:eastAsia="zh-CN"/>
        </w:rPr>
        <w:t>入</w:t>
      </w:r>
      <w:r>
        <w:rPr>
          <w:rFonts w:hint="eastAsia" w:asciiTheme="minorEastAsia" w:hAnsiTheme="minorEastAsia" w:cstheme="minorEastAsia"/>
          <w:sz w:val="24"/>
          <w:szCs w:val="24"/>
        </w:rPr>
        <w:t>。发展落实磷酸一铵和磷酸二铵绿色工厂建设目标，实现产业转型升级，是必然趋势。</w:t>
      </w:r>
    </w:p>
    <w:p>
      <w:pPr>
        <w:autoSpaceDE w:val="0"/>
        <w:autoSpaceDN w:val="0"/>
        <w:adjustRightInd w:val="0"/>
        <w:spacing w:before="120" w:beforeLines="50" w:after="120" w:afterLines="50" w:line="480" w:lineRule="exact"/>
        <w:jc w:val="left"/>
        <w:rPr>
          <w:rFonts w:ascii="宋体" w:hAnsi="宋体" w:eastAsia="宋体" w:cs="宋体"/>
          <w:kern w:val="0"/>
          <w:szCs w:val="21"/>
        </w:rPr>
      </w:pPr>
      <w:r>
        <w:rPr>
          <w:rFonts w:hint="eastAsia" w:asciiTheme="minorEastAsia" w:hAnsiTheme="minorEastAsia" w:cstheme="minorEastAsia"/>
          <w:b/>
          <w:bCs/>
          <w:kern w:val="0"/>
          <w:position w:val="-2"/>
          <w:sz w:val="24"/>
          <w:szCs w:val="24"/>
        </w:rPr>
        <w:t>4  标准编制的意义</w:t>
      </w:r>
    </w:p>
    <w:p>
      <w:pPr>
        <w:autoSpaceDE w:val="0"/>
        <w:autoSpaceDN w:val="0"/>
        <w:adjustRightIn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十三五”规划纲要草案提出，要实施制造强国战略，深入实施《中国制造2025》，以提高制造业创新能力和基础能力为重点，推进信息技术与制造技术深度融合，促进制造业朝高端、智能、绿色、服务方向发展，培育制造业竞争新优势。《中国制造2025》将“全面推动绿色制造”作为九大战略重点和任务之一，并提出“制定绿色产品、绿色工厂、绿色园区、绿色企业标准体系、开展绿色评价。”的要求。通过本标准的制定和实施可以推动磷酸一铵、磷酸二铵生产企业从建厂选材开始就贯彻绿色、集约、环保、科学的理念；生产过程中做到节能减排、绿色高效生产，淘汰一批不合格生产企业，最终推动磷酸一铵、磷酸二铵料行业技术进步、清洁生产，提升整个行业的声誉。</w:t>
      </w:r>
    </w:p>
    <w:p>
      <w:pPr>
        <w:autoSpaceDE w:val="0"/>
        <w:autoSpaceDN w:val="0"/>
        <w:adjustRightIn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通过推行磷酸一铵</w:t>
      </w:r>
      <w:r>
        <w:rPr>
          <w:rFonts w:hint="eastAsia" w:asciiTheme="minorEastAsia" w:hAnsiTheme="minorEastAsia" w:cstheme="minorEastAsia"/>
          <w:sz w:val="24"/>
          <w:szCs w:val="24"/>
          <w:lang w:eastAsia="zh-CN"/>
        </w:rPr>
        <w:t>、</w:t>
      </w:r>
      <w:r>
        <w:rPr>
          <w:rFonts w:hint="eastAsia" w:asciiTheme="minorEastAsia" w:hAnsiTheme="minorEastAsia" w:cstheme="minorEastAsia"/>
          <w:sz w:val="24"/>
          <w:szCs w:val="24"/>
        </w:rPr>
        <w:t>磷酸二铵绿色工厂标准，可推动行业技术进步。从企业建厂开始指导企业从建筑材料、建筑结构、采光照明、绿化及场地、再生资源及能源利用等方面进行建筑的节材、节能、节水、节地、无害化及可再生能源利用。生产过程中减少不可再生资源投入，宜使用可再生能源代替不可再生资源，充分利用余热等能源。工厂环境排放严格符合国家排放标准。同时也可促进资源的合理配置，减少浪费。通过绿色工厂评价指标的引领作用，可促使企业增进上下游产业的有效配置。如生产地向资源地或消费地集中；缩短上、下游产业和生产过程的中间环节。</w:t>
      </w:r>
    </w:p>
    <w:p>
      <w:pPr>
        <w:autoSpaceDE w:val="0"/>
        <w:autoSpaceDN w:val="0"/>
        <w:adjustRightIn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本标准结合磷酸一铵、磷酸二铵与绿色工厂，首次将绿色工厂的概念及实施导向推广到磷酸一铵、磷酸二铵生产中去，使我国磷酸一铵、磷酸二铵生产企业在生产过程中更科学、更合理、更环保、更绿色。</w:t>
      </w:r>
    </w:p>
    <w:p>
      <w:pPr>
        <w:autoSpaceDE w:val="0"/>
        <w:autoSpaceDN w:val="0"/>
        <w:adjustRightInd w:val="0"/>
        <w:spacing w:before="120" w:beforeLines="50" w:after="120" w:afterLines="50" w:line="480" w:lineRule="exact"/>
        <w:jc w:val="left"/>
        <w:rPr>
          <w:rFonts w:ascii="宋体" w:hAnsi="宋体" w:eastAsia="宋体" w:cs="宋体"/>
          <w:kern w:val="0"/>
          <w:szCs w:val="21"/>
        </w:rPr>
      </w:pPr>
      <w:r>
        <w:rPr>
          <w:rFonts w:hint="eastAsia" w:asciiTheme="minorEastAsia" w:hAnsiTheme="minorEastAsia" w:cstheme="minorEastAsia"/>
          <w:b/>
          <w:bCs/>
          <w:kern w:val="0"/>
          <w:position w:val="-2"/>
          <w:sz w:val="24"/>
          <w:szCs w:val="24"/>
        </w:rPr>
        <w:t>5  编制方法及技术路线</w:t>
      </w:r>
    </w:p>
    <w:p>
      <w:pPr>
        <w:autoSpaceDE w:val="0"/>
        <w:autoSpaceDN w:val="0"/>
        <w:adjustRightInd w:val="0"/>
        <w:spacing w:before="120" w:beforeLines="50" w:after="120" w:afterLines="50" w:line="480" w:lineRule="exact"/>
        <w:jc w:val="left"/>
        <w:rPr>
          <w:rFonts w:ascii="宋体" w:hAnsi="宋体" w:eastAsia="宋体" w:cs="宋体"/>
          <w:kern w:val="0"/>
          <w:szCs w:val="21"/>
        </w:rPr>
      </w:pPr>
      <w:r>
        <w:rPr>
          <w:rFonts w:hint="eastAsia" w:asciiTheme="minorEastAsia" w:hAnsiTheme="minorEastAsia" w:cstheme="minorEastAsia"/>
          <w:b/>
          <w:bCs/>
          <w:kern w:val="0"/>
          <w:position w:val="-2"/>
          <w:sz w:val="24"/>
          <w:szCs w:val="24"/>
        </w:rPr>
        <w:t>5.1 编制方法</w:t>
      </w:r>
    </w:p>
    <w:p>
      <w:pPr>
        <w:adjustRightInd w:val="0"/>
        <w:snapToGri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首先，选择相关专业人员成立标准编制组，聘请行业专家成立专家指导组。并根据计划要求、专家意见以及通则要求制定具体的实施方案。</w:t>
      </w:r>
    </w:p>
    <w:p>
      <w:pPr>
        <w:adjustRightInd w:val="0"/>
        <w:snapToGri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其次，广泛收集国内外磷酸一铵、磷酸二铵生产制造过程相关的政策、法律法规、技术文献；通过组织行业会议、发放调查表和典型企业现场调研等多种途径了解我国磷酸一铵、磷酸二铵生产企业的现状，总结经验、发现问题、明确目标；结合磷酸一铵、磷酸二铵生产企业的特点搭建标准框架、细化编写内容。</w:t>
      </w:r>
    </w:p>
    <w:p>
      <w:pPr>
        <w:adjustRightInd w:val="0"/>
        <w:snapToGrid w:val="0"/>
        <w:spacing w:line="480" w:lineRule="exact"/>
        <w:ind w:firstLine="480" w:firstLineChars="200"/>
        <w:jc w:val="left"/>
        <w:rPr>
          <w:rFonts w:ascii="微软雅黑" w:hAnsi="Times New Roman" w:eastAsia="微软雅黑" w:cs="微软雅黑"/>
          <w:kern w:val="0"/>
          <w:sz w:val="28"/>
          <w:szCs w:val="28"/>
        </w:rPr>
      </w:pPr>
      <w:r>
        <w:rPr>
          <w:rFonts w:hint="eastAsia" w:asciiTheme="minorEastAsia" w:hAnsiTheme="minorEastAsia" w:cstheme="minorEastAsia"/>
          <w:sz w:val="24"/>
          <w:szCs w:val="24"/>
        </w:rPr>
        <w:t>然后，在上述工作的基础上，编写标准文本。根据工作进程分阶段征求企业、专家的意见和建议，对标准文本进行修改。目前，形成标准征求意见稿，广泛征求行业各方意见，进一步修改完善。</w:t>
      </w:r>
    </w:p>
    <w:p>
      <w:pPr>
        <w:autoSpaceDE w:val="0"/>
        <w:autoSpaceDN w:val="0"/>
        <w:adjustRightInd w:val="0"/>
        <w:spacing w:before="120" w:beforeLines="50" w:after="120" w:afterLines="50" w:line="480" w:lineRule="exact"/>
        <w:jc w:val="left"/>
        <w:rPr>
          <w:rFonts w:ascii="Microsoft JhengHei" w:hAnsi="Times New Roman" w:eastAsia="Microsoft JhengHei" w:cs="Microsoft JhengHei"/>
          <w:kern w:val="0"/>
          <w:sz w:val="28"/>
          <w:szCs w:val="28"/>
        </w:rPr>
      </w:pPr>
      <w:r>
        <w:rPr>
          <w:rFonts w:hint="eastAsia" w:asciiTheme="minorEastAsia" w:hAnsiTheme="minorEastAsia" w:cstheme="minorEastAsia"/>
          <w:b/>
          <w:bCs/>
          <w:kern w:val="0"/>
          <w:position w:val="-2"/>
          <w:sz w:val="24"/>
          <w:szCs w:val="24"/>
        </w:rPr>
        <w:t>5.2 技术路线</w:t>
      </w:r>
    </w:p>
    <w:p>
      <w:pPr>
        <w:adjustRightInd w:val="0"/>
        <w:snapToGri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在进行调研的基础上，获取国内外磷酸一铵、磷酸二铵行业设备及生产工艺、污染物处理技术和污染物排放控制标准，进而拟定设备生产要求，工艺的改革更新标准，污染物排放控制项目和限值，用地集约化、生产洁净化、废物资源化和能源低碳化的绩效指标。在进一步实地考察和专家评议基础上，完成磷酸一铵、磷酸二铵行业绿色工厂标准的征求意见稿，经过意见汇总修改后形成送审稿，再经专家会议审查，最后形成报批稿。</w:t>
      </w:r>
    </w:p>
    <w:p>
      <w:pPr>
        <w:adjustRightInd w:val="0"/>
        <w:snapToGri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具体技术路线图如下：</w:t>
      </w:r>
    </w:p>
    <w:p>
      <w:pPr>
        <w:adjustRightInd w:val="0"/>
        <w:snapToGrid w:val="0"/>
        <w:spacing w:line="360" w:lineRule="auto"/>
        <w:ind w:firstLine="480" w:firstLineChars="200"/>
        <w:rPr>
          <w:rFonts w:asciiTheme="minorEastAsia" w:hAnsiTheme="minorEastAsia" w:cstheme="minorEastAsia"/>
          <w:sz w:val="24"/>
          <w:szCs w:val="24"/>
        </w:rPr>
      </w:pPr>
    </w:p>
    <w:p>
      <w:pPr>
        <w:adjustRightInd w:val="0"/>
        <w:snapToGrid w:val="0"/>
        <w:spacing w:line="360" w:lineRule="auto"/>
        <w:ind w:firstLine="480" w:firstLineChars="200"/>
        <w:rPr>
          <w:rFonts w:asciiTheme="minorEastAsia" w:hAnsiTheme="minorEastAsia" w:cstheme="minorEastAsia"/>
          <w:sz w:val="24"/>
          <w:szCs w:val="24"/>
        </w:rPr>
      </w:pPr>
    </w:p>
    <w:p>
      <w:pPr>
        <w:adjustRightInd w:val="0"/>
        <w:snapToGrid w:val="0"/>
        <w:spacing w:line="360" w:lineRule="auto"/>
        <w:ind w:firstLine="480" w:firstLineChars="200"/>
        <w:rPr>
          <w:rFonts w:asciiTheme="minorEastAsia" w:hAnsiTheme="minorEastAsia" w:cstheme="minorEastAsia"/>
          <w:sz w:val="24"/>
          <w:szCs w:val="24"/>
        </w:rPr>
      </w:pPr>
    </w:p>
    <w:p>
      <w:pPr>
        <w:adjustRightInd w:val="0"/>
        <w:snapToGrid w:val="0"/>
        <w:spacing w:line="360" w:lineRule="auto"/>
        <w:ind w:firstLine="480" w:firstLineChars="200"/>
        <w:rPr>
          <w:rFonts w:asciiTheme="minorEastAsia" w:hAnsiTheme="minorEastAsia" w:cstheme="minorEastAsia"/>
          <w:sz w:val="24"/>
          <w:szCs w:val="24"/>
        </w:rPr>
      </w:pPr>
    </w:p>
    <w:p>
      <w:pPr>
        <w:adjustRightInd w:val="0"/>
        <w:snapToGrid w:val="0"/>
        <w:spacing w:line="360" w:lineRule="auto"/>
        <w:ind w:firstLine="480" w:firstLineChars="200"/>
        <w:rPr>
          <w:rFonts w:asciiTheme="minorEastAsia" w:hAnsiTheme="minorEastAsia" w:cstheme="minorEastAsia"/>
          <w:sz w:val="24"/>
          <w:szCs w:val="24"/>
        </w:rPr>
      </w:pPr>
    </w:p>
    <w:p>
      <w:pPr>
        <w:adjustRightInd w:val="0"/>
        <w:snapToGrid w:val="0"/>
        <w:spacing w:line="360" w:lineRule="auto"/>
        <w:ind w:firstLine="480" w:firstLineChars="200"/>
        <w:rPr>
          <w:rFonts w:asciiTheme="minorEastAsia" w:hAnsiTheme="minorEastAsia" w:cstheme="minorEastAsia"/>
          <w:sz w:val="24"/>
          <w:szCs w:val="24"/>
        </w:rPr>
      </w:pPr>
    </w:p>
    <w:p>
      <w:pPr>
        <w:adjustRightInd w:val="0"/>
        <w:snapToGrid w:val="0"/>
        <w:spacing w:line="360" w:lineRule="auto"/>
        <w:ind w:firstLine="480" w:firstLineChars="200"/>
        <w:rPr>
          <w:rFonts w:asciiTheme="minorEastAsia" w:hAnsiTheme="minorEastAsia" w:cstheme="minorEastAsia"/>
          <w:sz w:val="24"/>
          <w:szCs w:val="24"/>
        </w:rPr>
      </w:pPr>
    </w:p>
    <w:p>
      <w:pPr>
        <w:adjustRightInd w:val="0"/>
        <w:snapToGrid w:val="0"/>
        <w:spacing w:line="360" w:lineRule="auto"/>
        <w:ind w:firstLine="480" w:firstLineChars="200"/>
        <w:rPr>
          <w:rFonts w:asciiTheme="minorEastAsia" w:hAnsiTheme="minorEastAsia" w:cstheme="minorEastAsia"/>
          <w:sz w:val="24"/>
          <w:szCs w:val="24"/>
        </w:rPr>
      </w:pPr>
    </w:p>
    <w:p>
      <w:pPr>
        <w:adjustRightInd w:val="0"/>
        <w:snapToGrid w:val="0"/>
        <w:spacing w:line="360" w:lineRule="auto"/>
        <w:ind w:firstLine="480" w:firstLineChars="200"/>
        <w:rPr>
          <w:rFonts w:asciiTheme="minorEastAsia" w:hAnsiTheme="minorEastAsia" w:cstheme="minorEastAsia"/>
          <w:sz w:val="24"/>
          <w:szCs w:val="24"/>
        </w:rPr>
      </w:pPr>
    </w:p>
    <w:p>
      <w:pPr>
        <w:adjustRightInd w:val="0"/>
        <w:snapToGrid w:val="0"/>
        <w:spacing w:line="360" w:lineRule="auto"/>
        <w:ind w:firstLine="480" w:firstLineChars="200"/>
        <w:rPr>
          <w:rFonts w:asciiTheme="minorEastAsia" w:hAnsiTheme="minorEastAsia" w:cstheme="minorEastAsia"/>
          <w:sz w:val="24"/>
          <w:szCs w:val="24"/>
        </w:rPr>
      </w:pPr>
    </w:p>
    <w:p>
      <w:pPr>
        <w:adjustRightInd w:val="0"/>
        <w:snapToGrid w:val="0"/>
        <w:spacing w:line="360" w:lineRule="auto"/>
        <w:ind w:firstLine="480" w:firstLineChars="200"/>
        <w:rPr>
          <w:rFonts w:asciiTheme="minorEastAsia" w:hAnsiTheme="minorEastAsia" w:cstheme="minorEastAsia"/>
          <w:sz w:val="24"/>
          <w:szCs w:val="24"/>
        </w:rPr>
      </w:pPr>
    </w:p>
    <w:p>
      <w:pPr>
        <w:adjustRightInd w:val="0"/>
        <w:snapToGrid w:val="0"/>
        <w:spacing w:line="360" w:lineRule="auto"/>
        <w:ind w:firstLine="480" w:firstLineChars="200"/>
        <w:rPr>
          <w:rFonts w:asciiTheme="minorEastAsia" w:hAnsiTheme="minorEastAsia" w:cstheme="minorEastAsia"/>
          <w:sz w:val="24"/>
          <w:szCs w:val="24"/>
        </w:rPr>
      </w:pPr>
    </w:p>
    <w:p>
      <w:pPr>
        <w:adjustRightInd w:val="0"/>
        <w:snapToGrid w:val="0"/>
        <w:spacing w:line="360" w:lineRule="auto"/>
        <w:jc w:val="center"/>
        <w:rPr>
          <w:rFonts w:asciiTheme="minorEastAsia" w:hAnsiTheme="minorEastAsia" w:cstheme="minorEastAsia"/>
          <w:sz w:val="24"/>
          <w:szCs w:val="24"/>
        </w:rPr>
      </w:pPr>
      <w:r>
        <w:rPr>
          <w:rFonts w:hint="eastAsia" w:asciiTheme="minorEastAsia" w:hAnsiTheme="minorEastAsia" w:cstheme="minorEastAsia"/>
          <w:sz w:val="24"/>
          <w:szCs w:val="24"/>
        </w:rPr>
        <w:t>制定标准的技术路线</w:t>
      </w:r>
    </w:p>
    <w:p>
      <w:pPr>
        <w:adjustRightInd w:val="0"/>
        <w:snapToGrid w:val="0"/>
        <w:spacing w:line="360" w:lineRule="auto"/>
        <w:jc w:val="center"/>
        <w:rPr>
          <w:rFonts w:ascii="Microsoft JhengHei" w:hAnsi="Times New Roman" w:eastAsia="Microsoft JhengHei" w:cs="Microsoft JhengHei"/>
          <w:kern w:val="0"/>
          <w:sz w:val="20"/>
          <w:szCs w:val="20"/>
        </w:rPr>
      </w:pPr>
      <w:r>
        <w:drawing>
          <wp:inline distT="0" distB="0" distL="114300" distR="114300">
            <wp:extent cx="2720340" cy="4229100"/>
            <wp:effectExtent l="0" t="0" r="7620" b="762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8"/>
                    <a:stretch>
                      <a:fillRect/>
                    </a:stretch>
                  </pic:blipFill>
                  <pic:spPr>
                    <a:xfrm>
                      <a:off x="0" y="0"/>
                      <a:ext cx="2720340" cy="4229100"/>
                    </a:xfrm>
                    <a:prstGeom prst="rect">
                      <a:avLst/>
                    </a:prstGeom>
                    <a:noFill/>
                    <a:ln>
                      <a:noFill/>
                    </a:ln>
                  </pic:spPr>
                </pic:pic>
              </a:graphicData>
            </a:graphic>
          </wp:inline>
        </w:drawing>
      </w:r>
    </w:p>
    <w:p>
      <w:pPr>
        <w:autoSpaceDE w:val="0"/>
        <w:autoSpaceDN w:val="0"/>
        <w:adjustRightInd w:val="0"/>
        <w:spacing w:before="120" w:beforeLines="50" w:after="120" w:afterLines="50" w:line="480" w:lineRule="exact"/>
        <w:jc w:val="left"/>
        <w:rPr>
          <w:rFonts w:ascii="Microsoft JhengHei" w:hAnsi="Times New Roman" w:eastAsia="Microsoft JhengHei" w:cs="Microsoft JhengHei"/>
          <w:kern w:val="0"/>
          <w:sz w:val="28"/>
          <w:szCs w:val="28"/>
        </w:rPr>
      </w:pPr>
      <w:r>
        <w:rPr>
          <w:rFonts w:hint="eastAsia" w:asciiTheme="minorEastAsia" w:hAnsiTheme="minorEastAsia" w:cstheme="minorEastAsia"/>
          <w:b/>
          <w:bCs/>
          <w:kern w:val="0"/>
          <w:position w:val="-2"/>
          <w:sz w:val="24"/>
          <w:szCs w:val="24"/>
        </w:rPr>
        <w:t>5.3   资料查阅</w:t>
      </w:r>
    </w:p>
    <w:p>
      <w:pPr>
        <w:adjustRightInd w:val="0"/>
        <w:snapToGri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主要查阅了以下资料：</w:t>
      </w:r>
    </w:p>
    <w:p>
      <w:pPr>
        <w:adjustRightInd w:val="0"/>
        <w:snapToGri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（1）我国关于清洁生产和循环经济的法律法规和产业政策；</w:t>
      </w:r>
    </w:p>
    <w:p>
      <w:pPr>
        <w:adjustRightInd w:val="0"/>
        <w:snapToGri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（2）国内磷酸一铵、磷酸二铵行业产业政策；</w:t>
      </w:r>
    </w:p>
    <w:p>
      <w:pPr>
        <w:adjustRightInd w:val="0"/>
        <w:snapToGri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（3）有关我国磷酸一铵、磷酸二铵行业的概况及行业现状的文献资料，包括企业数量、工艺装备、产能、环境管理水平等；</w:t>
      </w:r>
    </w:p>
    <w:p>
      <w:pPr>
        <w:adjustRightInd w:val="0"/>
        <w:snapToGri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（4）国内、外磷酸一铵、磷酸二铵行业及相关行业的标准；</w:t>
      </w:r>
    </w:p>
    <w:p>
      <w:pPr>
        <w:adjustRightInd w:val="0"/>
        <w:snapToGri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（5）国内、外磷酸一铵、磷酸二铵行业清洁生产工艺技术以及污染物控制和</w:t>
      </w:r>
      <w:r>
        <w:rPr>
          <w:rFonts w:hint="eastAsia" w:asciiTheme="minorEastAsia" w:hAnsiTheme="minorEastAsia" w:cstheme="minorEastAsia"/>
          <w:sz w:val="24"/>
          <w:szCs w:val="24"/>
          <w:lang w:val="en-US" w:eastAsia="zh-CN"/>
        </w:rPr>
        <w:t>治理</w:t>
      </w:r>
      <w:r>
        <w:rPr>
          <w:rFonts w:hint="eastAsia" w:asciiTheme="minorEastAsia" w:hAnsiTheme="minorEastAsia" w:cstheme="minorEastAsia"/>
          <w:sz w:val="24"/>
          <w:szCs w:val="24"/>
        </w:rPr>
        <w:t>技术。</w:t>
      </w:r>
    </w:p>
    <w:p>
      <w:pPr>
        <w:autoSpaceDE w:val="0"/>
        <w:autoSpaceDN w:val="0"/>
        <w:adjustRightInd w:val="0"/>
        <w:spacing w:before="120" w:beforeLines="50" w:after="120" w:afterLines="50" w:line="480" w:lineRule="exact"/>
        <w:jc w:val="left"/>
        <w:rPr>
          <w:rFonts w:ascii="Microsoft JhengHei" w:hAnsi="Times New Roman" w:eastAsia="Microsoft JhengHei" w:cs="Microsoft JhengHei"/>
          <w:kern w:val="0"/>
          <w:sz w:val="20"/>
          <w:szCs w:val="20"/>
        </w:rPr>
      </w:pPr>
      <w:r>
        <w:rPr>
          <w:rFonts w:hint="eastAsia" w:asciiTheme="minorEastAsia" w:hAnsiTheme="minorEastAsia" w:cstheme="minorEastAsia"/>
          <w:b/>
          <w:bCs/>
          <w:kern w:val="0"/>
          <w:position w:val="-2"/>
          <w:sz w:val="24"/>
          <w:szCs w:val="24"/>
        </w:rPr>
        <w:t>5.4   对国内、外主要磷酸一铵、磷酸二铵企业进行调研</w:t>
      </w:r>
    </w:p>
    <w:p>
      <w:pPr>
        <w:autoSpaceDE w:val="0"/>
        <w:autoSpaceDN w:val="0"/>
        <w:adjustRightInd w:val="0"/>
        <w:spacing w:before="120" w:beforeLines="50" w:after="120" w:afterLines="50" w:line="480" w:lineRule="exact"/>
        <w:jc w:val="left"/>
        <w:rPr>
          <w:rFonts w:asciiTheme="minorEastAsia" w:hAnsiTheme="minorEastAsia" w:cstheme="minorEastAsia"/>
          <w:sz w:val="24"/>
          <w:szCs w:val="24"/>
        </w:rPr>
      </w:pPr>
      <w:r>
        <w:rPr>
          <w:rFonts w:hint="eastAsia" w:asciiTheme="minorEastAsia" w:hAnsiTheme="minorEastAsia" w:cstheme="minorEastAsia"/>
          <w:b/>
          <w:bCs/>
          <w:kern w:val="0"/>
          <w:position w:val="-2"/>
          <w:sz w:val="24"/>
          <w:szCs w:val="24"/>
        </w:rPr>
        <w:t>5.4.1 调研方式</w:t>
      </w:r>
    </w:p>
    <w:p>
      <w:pPr>
        <w:adjustRightInd w:val="0"/>
        <w:snapToGrid w:val="0"/>
        <w:spacing w:line="480" w:lineRule="exact"/>
        <w:ind w:firstLine="480" w:firstLineChars="200"/>
        <w:jc w:val="left"/>
        <w:rPr>
          <w:rFonts w:ascii="微软雅黑" w:hAnsi="Times New Roman" w:eastAsia="微软雅黑" w:cs="微软雅黑"/>
          <w:kern w:val="0"/>
          <w:sz w:val="20"/>
          <w:szCs w:val="20"/>
        </w:rPr>
      </w:pPr>
      <w:r>
        <w:rPr>
          <w:rFonts w:hint="eastAsia" w:asciiTheme="minorEastAsia" w:hAnsiTheme="minorEastAsia" w:cstheme="minorEastAsia"/>
          <w:sz w:val="24"/>
          <w:szCs w:val="24"/>
        </w:rPr>
        <w:t>我们采取了现场考察、问卷调查、会议研讨的方式进行调研，同时关注和收集国家统计局、全国肥料和土壤调理剂标准化技术委员会、中国磷复肥工业协会等相关的统计数据。</w:t>
      </w:r>
    </w:p>
    <w:p>
      <w:pPr>
        <w:autoSpaceDE w:val="0"/>
        <w:autoSpaceDN w:val="0"/>
        <w:adjustRightInd w:val="0"/>
        <w:spacing w:before="120" w:beforeLines="50" w:after="120" w:afterLines="50" w:line="480" w:lineRule="exact"/>
        <w:jc w:val="left"/>
        <w:rPr>
          <w:rFonts w:ascii="Microsoft JhengHei" w:hAnsi="Times New Roman" w:eastAsia="Microsoft JhengHei" w:cs="Microsoft JhengHei"/>
          <w:kern w:val="0"/>
          <w:sz w:val="28"/>
          <w:szCs w:val="28"/>
        </w:rPr>
      </w:pPr>
      <w:r>
        <w:rPr>
          <w:rFonts w:hint="eastAsia" w:asciiTheme="minorEastAsia" w:hAnsiTheme="minorEastAsia" w:cstheme="minorEastAsia"/>
          <w:b/>
          <w:bCs/>
          <w:kern w:val="0"/>
          <w:position w:val="-2"/>
          <w:sz w:val="24"/>
          <w:szCs w:val="24"/>
        </w:rPr>
        <w:t>5.4.2 调研主要内容</w:t>
      </w:r>
    </w:p>
    <w:p>
      <w:pPr>
        <w:adjustRightInd w:val="0"/>
        <w:snapToGrid w:val="0"/>
        <w:spacing w:line="480" w:lineRule="exact"/>
        <w:ind w:firstLine="480" w:firstLineChars="200"/>
        <w:jc w:val="left"/>
        <w:rPr>
          <w:rFonts w:ascii="微软雅黑" w:hAnsi="Times New Roman" w:eastAsia="微软雅黑" w:cs="微软雅黑"/>
          <w:kern w:val="0"/>
          <w:sz w:val="28"/>
          <w:szCs w:val="28"/>
        </w:rPr>
      </w:pPr>
      <w:r>
        <w:rPr>
          <w:rFonts w:hint="eastAsia" w:asciiTheme="minorEastAsia" w:hAnsiTheme="minorEastAsia" w:cstheme="minorEastAsia"/>
          <w:sz w:val="24"/>
          <w:szCs w:val="24"/>
        </w:rPr>
        <w:t>根据绿色工厂评价通则的要求，重点调研了基础合规性、基础设施、管理体系、能源与资源投入、产品、环境排放、绩效等内容。</w:t>
      </w:r>
    </w:p>
    <w:p>
      <w:pPr>
        <w:autoSpaceDE w:val="0"/>
        <w:autoSpaceDN w:val="0"/>
        <w:adjustRightInd w:val="0"/>
        <w:spacing w:before="120" w:beforeLines="50" w:after="120" w:afterLines="50" w:line="480" w:lineRule="exact"/>
        <w:jc w:val="left"/>
        <w:rPr>
          <w:rFonts w:ascii="Microsoft JhengHei" w:hAnsi="Times New Roman" w:eastAsia="Microsoft JhengHei" w:cs="Microsoft JhengHei"/>
          <w:kern w:val="0"/>
          <w:sz w:val="28"/>
          <w:szCs w:val="28"/>
        </w:rPr>
      </w:pPr>
      <w:r>
        <w:rPr>
          <w:rFonts w:hint="eastAsia" w:asciiTheme="minorEastAsia" w:hAnsiTheme="minorEastAsia" w:cstheme="minorEastAsia"/>
          <w:b/>
          <w:bCs/>
          <w:kern w:val="0"/>
          <w:position w:val="-2"/>
          <w:sz w:val="24"/>
          <w:szCs w:val="24"/>
        </w:rPr>
        <w:t>6  适用范围</w:t>
      </w:r>
    </w:p>
    <w:p>
      <w:pPr>
        <w:adjustRightInd w:val="0"/>
        <w:snapToGri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本文件规定了磷酸一铵、磷酸二铵（以下简称“磷铵”）绿色工厂评价的基本原则、评价指标体系及要求、评价程序。</w:t>
      </w:r>
    </w:p>
    <w:p>
      <w:pPr>
        <w:adjustRightInd w:val="0"/>
        <w:snapToGri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本文件适用于固体磷酸一铵（MAP）、磷酸二铵(DAP)肥料的产品生产企业的绿色工厂评价。</w:t>
      </w:r>
    </w:p>
    <w:p>
      <w:pPr>
        <w:autoSpaceDE w:val="0"/>
        <w:autoSpaceDN w:val="0"/>
        <w:adjustRightInd w:val="0"/>
        <w:spacing w:before="120" w:beforeLines="50" w:after="120" w:afterLines="50" w:line="480" w:lineRule="exact"/>
        <w:jc w:val="left"/>
        <w:rPr>
          <w:rFonts w:ascii="Microsoft JhengHei" w:hAnsi="Times New Roman" w:eastAsia="Microsoft JhengHei" w:cs="Microsoft JhengHei"/>
          <w:kern w:val="0"/>
          <w:sz w:val="19"/>
          <w:szCs w:val="19"/>
        </w:rPr>
      </w:pPr>
      <w:r>
        <w:rPr>
          <w:rFonts w:hint="eastAsia" w:asciiTheme="minorEastAsia" w:hAnsiTheme="minorEastAsia" w:cstheme="minorEastAsia"/>
          <w:b/>
          <w:bCs/>
          <w:kern w:val="0"/>
          <w:position w:val="-2"/>
          <w:sz w:val="24"/>
          <w:szCs w:val="24"/>
        </w:rPr>
        <w:t>7  编制依据及参考文献</w:t>
      </w:r>
    </w:p>
    <w:p>
      <w:pPr>
        <w:adjustRightInd w:val="0"/>
        <w:snapToGri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 xml:space="preserve">《磷酸一铵、磷酸二铵行业绿色工厂评价要求》编制严格按照国家标准规范性文件的基本要求进行，在符合国家现行法律、法规以及磷酸一铵、磷酸二铵行业政策要求的前提下，保证产品功能、质量以及生产过程中人的职业健康安全的前提下，满足基础设施、管理体系、能源与资源投入、产品、环境排放、绩效的综合评价要求，并进行持续改进。 </w:t>
      </w:r>
    </w:p>
    <w:p>
      <w:pPr>
        <w:adjustRightInd w:val="0"/>
        <w:snapToGri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主要编制依据及参考文献如下：</w:t>
      </w:r>
    </w:p>
    <w:p>
      <w:pPr>
        <w:adjustRightInd w:val="0"/>
        <w:snapToGri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GB 3095 环境空气质量标准</w:t>
      </w:r>
    </w:p>
    <w:p>
      <w:pPr>
        <w:adjustRightInd w:val="0"/>
        <w:snapToGri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GB 6566 建筑材料放射性核素限量</w:t>
      </w:r>
    </w:p>
    <w:p>
      <w:pPr>
        <w:adjustRightInd w:val="0"/>
        <w:snapToGri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GB/T 7119 节水型企业评价导则</w:t>
      </w:r>
    </w:p>
    <w:p>
      <w:pPr>
        <w:adjustRightInd w:val="0"/>
        <w:snapToGri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GB 8978 污水综合排放标准</w:t>
      </w:r>
    </w:p>
    <w:p>
      <w:pPr>
        <w:adjustRightInd w:val="0"/>
        <w:snapToGri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GB 10205 磷酸一铵、磷酸二铵</w:t>
      </w:r>
    </w:p>
    <w:p>
      <w:pPr>
        <w:adjustRightInd w:val="0"/>
        <w:snapToGri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GB 12348 工业企业厂界环境噪声排放标准</w:t>
      </w:r>
    </w:p>
    <w:p>
      <w:pPr>
        <w:adjustRightInd w:val="0"/>
        <w:snapToGri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GB/T 12497 三相异步电动机经济运行</w:t>
      </w:r>
    </w:p>
    <w:p>
      <w:pPr>
        <w:adjustRightInd w:val="0"/>
        <w:snapToGri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GB/T 13223 火电厂大气污染排放标准</w:t>
      </w:r>
    </w:p>
    <w:p>
      <w:pPr>
        <w:adjustRightInd w:val="0"/>
        <w:snapToGri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GB 13271 锅炉大气污染物排放标准</w:t>
      </w:r>
    </w:p>
    <w:p>
      <w:pPr>
        <w:adjustRightInd w:val="0"/>
        <w:snapToGri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GB/T 13462 电力变压器经济运行</w:t>
      </w:r>
    </w:p>
    <w:p>
      <w:pPr>
        <w:adjustRightInd w:val="0"/>
        <w:snapToGri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GB 14554 恶臭污染物排放标准</w:t>
      </w:r>
    </w:p>
    <w:p>
      <w:pPr>
        <w:adjustRightInd w:val="0"/>
        <w:snapToGri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GB/T 15587 工业企业能源管理导则</w:t>
      </w:r>
    </w:p>
    <w:p>
      <w:pPr>
        <w:adjustRightInd w:val="0"/>
        <w:snapToGri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GB 16297 大气污染物综合排放标准</w:t>
      </w:r>
    </w:p>
    <w:p>
      <w:pPr>
        <w:adjustRightInd w:val="0"/>
        <w:snapToGri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GB 17167 用能单位能源计量器具配备和管理通则</w:t>
      </w:r>
    </w:p>
    <w:p>
      <w:pPr>
        <w:adjustRightInd w:val="0"/>
        <w:snapToGri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GB 18382 肥料标识 内容和要求</w:t>
      </w:r>
    </w:p>
    <w:p>
      <w:pPr>
        <w:adjustRightInd w:val="0"/>
        <w:snapToGri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GB 18484 危险废物焚烧污染控制标准</w:t>
      </w:r>
    </w:p>
    <w:p>
      <w:pPr>
        <w:adjustRightInd w:val="0"/>
        <w:snapToGri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GB 18597 危险废物贮存污染控制标准</w:t>
      </w:r>
    </w:p>
    <w:p>
      <w:pPr>
        <w:adjustRightInd w:val="0"/>
        <w:snapToGri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GB 18598 危险废物填埋污染控制标准</w:t>
      </w:r>
    </w:p>
    <w:p>
      <w:pPr>
        <w:adjustRightInd w:val="0"/>
        <w:snapToGri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GB 18599  一般工业固体废物贮存、处置场污染控制标准</w:t>
      </w:r>
    </w:p>
    <w:p>
      <w:pPr>
        <w:adjustRightInd w:val="0"/>
        <w:snapToGri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GB/T 19001 质量管理体系要求</w:t>
      </w:r>
    </w:p>
    <w:p>
      <w:pPr>
        <w:adjustRightInd w:val="0"/>
        <w:snapToGri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GB 20052 三相配电变压器能效限定值及能效等级</w:t>
      </w:r>
    </w:p>
    <w:p>
      <w:pPr>
        <w:adjustRightInd w:val="0"/>
        <w:snapToGri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GB/T 21367 化工企业能源计量器具配备和管理要求</w:t>
      </w:r>
    </w:p>
    <w:p>
      <w:pPr>
        <w:adjustRightInd w:val="0"/>
        <w:snapToGri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GB/T 23331 能源管理体系要求</w:t>
      </w:r>
    </w:p>
    <w:p>
      <w:pPr>
        <w:adjustRightInd w:val="0"/>
        <w:snapToGri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GB/T 24001 环境管理体系要求及使用指南</w:t>
      </w:r>
    </w:p>
    <w:p>
      <w:pPr>
        <w:adjustRightInd w:val="0"/>
        <w:snapToGri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GB/T 24256 产品生态设计通则</w:t>
      </w:r>
    </w:p>
    <w:p>
      <w:pPr>
        <w:adjustRightInd w:val="0"/>
        <w:snapToGri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GB 24789 用水单位水计量器具配备和管理通则</w:t>
      </w:r>
    </w:p>
    <w:p>
      <w:pPr>
        <w:adjustRightInd w:val="0"/>
        <w:snapToGri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GB 24790 电力变压器能效限定值及能效等级</w:t>
      </w:r>
    </w:p>
    <w:p>
      <w:pPr>
        <w:adjustRightInd w:val="0"/>
        <w:snapToGri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GB/T 29115 工业企业节约原材料评价导则</w:t>
      </w:r>
    </w:p>
    <w:p>
      <w:pPr>
        <w:adjustRightInd w:val="0"/>
        <w:snapToGrid w:val="0"/>
        <w:spacing w:line="480" w:lineRule="exact"/>
        <w:ind w:firstLine="480" w:firstLineChars="200"/>
        <w:jc w:val="left"/>
        <w:rPr>
          <w:rFonts w:asciiTheme="minorEastAsia" w:hAnsiTheme="minorEastAsia" w:cstheme="minorEastAsia"/>
          <w:sz w:val="24"/>
          <w:szCs w:val="24"/>
        </w:rPr>
      </w:pPr>
      <w:bookmarkStart w:id="3" w:name="_Toc20067"/>
      <w:r>
        <w:rPr>
          <w:rFonts w:hint="eastAsia" w:asciiTheme="minorEastAsia" w:hAnsiTheme="minorEastAsia" w:cstheme="minorEastAsia"/>
          <w:sz w:val="24"/>
          <w:szCs w:val="24"/>
        </w:rPr>
        <w:t>GB 29138 磷酸一铵单位产品能源消耗限额</w:t>
      </w:r>
      <w:bookmarkEnd w:id="3"/>
    </w:p>
    <w:p>
      <w:pPr>
        <w:adjustRightInd w:val="0"/>
        <w:snapToGrid w:val="0"/>
        <w:spacing w:line="480" w:lineRule="exact"/>
        <w:ind w:firstLine="480" w:firstLineChars="200"/>
        <w:jc w:val="left"/>
        <w:rPr>
          <w:rFonts w:asciiTheme="minorEastAsia" w:hAnsiTheme="minorEastAsia" w:cstheme="minorEastAsia"/>
          <w:sz w:val="24"/>
          <w:szCs w:val="24"/>
        </w:rPr>
      </w:pPr>
      <w:bookmarkStart w:id="4" w:name="_Toc30061"/>
      <w:r>
        <w:rPr>
          <w:rFonts w:hint="eastAsia" w:asciiTheme="minorEastAsia" w:hAnsiTheme="minorEastAsia" w:cstheme="minorEastAsia"/>
          <w:sz w:val="24"/>
          <w:szCs w:val="24"/>
        </w:rPr>
        <w:t>GB 29139 磷酸二铵单位产品能源消耗限额</w:t>
      </w:r>
      <w:bookmarkEnd w:id="4"/>
    </w:p>
    <w:p>
      <w:pPr>
        <w:adjustRightInd w:val="0"/>
        <w:snapToGri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GB/T 32150 工业企业温室气体排放核算和报告通则</w:t>
      </w:r>
    </w:p>
    <w:p>
      <w:pPr>
        <w:adjustRightInd w:val="0"/>
        <w:snapToGri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GB/T 32161 生态设计产品评价通则</w:t>
      </w:r>
    </w:p>
    <w:p>
      <w:pPr>
        <w:adjustRightInd w:val="0"/>
        <w:snapToGri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GB/T 33000 企业安全生产标准化基本规范</w:t>
      </w:r>
    </w:p>
    <w:p>
      <w:pPr>
        <w:adjustRightInd w:val="0"/>
        <w:snapToGri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GB/T 33761 绿色产品评价通则</w:t>
      </w:r>
    </w:p>
    <w:p>
      <w:pPr>
        <w:adjustRightInd w:val="0"/>
        <w:snapToGri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GB/T 36132 绿色工厂评价通则</w:t>
      </w:r>
    </w:p>
    <w:p>
      <w:pPr>
        <w:adjustRightInd w:val="0"/>
        <w:snapToGri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GB 37822 挥发性有机物无组织排放控制标准</w:t>
      </w:r>
    </w:p>
    <w:p>
      <w:pPr>
        <w:adjustRightInd w:val="0"/>
        <w:snapToGri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GB 38400 肥料中有毒有害物质的限量要求</w:t>
      </w:r>
    </w:p>
    <w:p>
      <w:pPr>
        <w:adjustRightInd w:val="0"/>
        <w:snapToGri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GB/T 45001 职业健康安全管理体系 要求及使用指南</w:t>
      </w:r>
    </w:p>
    <w:p>
      <w:pPr>
        <w:adjustRightInd w:val="0"/>
        <w:snapToGri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GB 50034 建筑照明设计标准</w:t>
      </w:r>
    </w:p>
    <w:p>
      <w:pPr>
        <w:adjustRightInd w:val="0"/>
        <w:snapToGri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GB/T 50878 绿色工业建筑评价标准</w:t>
      </w:r>
    </w:p>
    <w:p>
      <w:pPr>
        <w:autoSpaceDE w:val="0"/>
        <w:autoSpaceDN w:val="0"/>
        <w:adjustRightInd w:val="0"/>
        <w:spacing w:before="120" w:beforeLines="50" w:after="120" w:afterLines="50" w:line="480" w:lineRule="exact"/>
        <w:jc w:val="left"/>
        <w:rPr>
          <w:rFonts w:ascii="Microsoft JhengHei" w:hAnsi="Times New Roman" w:eastAsia="宋体" w:cs="Microsoft JhengHei"/>
          <w:kern w:val="0"/>
          <w:szCs w:val="21"/>
        </w:rPr>
      </w:pPr>
      <w:r>
        <w:rPr>
          <w:rFonts w:hint="eastAsia" w:asciiTheme="minorEastAsia" w:hAnsiTheme="minorEastAsia" w:cstheme="minorEastAsia"/>
          <w:b/>
          <w:bCs/>
          <w:kern w:val="0"/>
          <w:position w:val="-2"/>
          <w:sz w:val="24"/>
          <w:szCs w:val="24"/>
        </w:rPr>
        <w:t>8  总则</w:t>
      </w:r>
    </w:p>
    <w:p>
      <w:pPr>
        <w:adjustRightInd w:val="0"/>
        <w:snapToGri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磷酸一铵、磷酸二铵行业绿色工厂评价要求总体结构与GB/T 36132提出的相关评价指标体系和要求保持一致。评价遵循一致性原则、定性和定量结合原则。评价指标分一级指标和二级指标，其中一级指标包括基本要求、基础设施要求、管理体系要求、能源与资源投入要求、生产过程及产品要求、环境要求和绩效要求共七个方面共7个方面；二级指标是一级指标的细化，并细化为基本要求和预期性要求，其中基础性要求为必选项，预期性要求为可选项。定性指标主要侧重在应满足的法律法规、节能环保、工艺技术、相关标准等方面要求；定量指标主要侧重在能够反映工厂层面的绿色特性指标，如生产原料损耗率，磷酸一铵、磷酸二铵肥料产品生产吨能源消耗、大气污染物排放限值等。</w:t>
      </w:r>
    </w:p>
    <w:p>
      <w:pPr>
        <w:adjustRightInd w:val="0"/>
        <w:snapToGri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磷酸一铵、磷酸二铵行业绿色工厂评价采用指标加权综合评分的方法。</w:t>
      </w:r>
    </w:p>
    <w:p>
      <w:pPr>
        <w:autoSpaceDE w:val="0"/>
        <w:autoSpaceDN w:val="0"/>
        <w:adjustRightInd w:val="0"/>
        <w:spacing w:before="120" w:beforeLines="50" w:after="120" w:afterLines="50" w:line="480" w:lineRule="exact"/>
        <w:jc w:val="left"/>
        <w:rPr>
          <w:rFonts w:ascii="Times New Roman" w:hAnsi="Times New Roman" w:eastAsia="微软雅黑" w:cs="Times New Roman"/>
          <w:w w:val="120"/>
          <w:kern w:val="0"/>
          <w:szCs w:val="21"/>
        </w:rPr>
      </w:pPr>
      <w:r>
        <w:rPr>
          <w:rFonts w:hint="eastAsia" w:asciiTheme="minorEastAsia" w:hAnsiTheme="minorEastAsia" w:cstheme="minorEastAsia"/>
          <w:b/>
          <w:bCs/>
          <w:kern w:val="0"/>
          <w:position w:val="-2"/>
          <w:sz w:val="24"/>
          <w:szCs w:val="24"/>
        </w:rPr>
        <w:t>9  评价指标及要求</w:t>
      </w:r>
    </w:p>
    <w:p>
      <w:pPr>
        <w:autoSpaceDE w:val="0"/>
        <w:autoSpaceDN w:val="0"/>
        <w:adjustRightInd w:val="0"/>
        <w:spacing w:before="120" w:beforeLines="50" w:after="120" w:afterLines="50" w:line="480" w:lineRule="exact"/>
        <w:jc w:val="left"/>
        <w:rPr>
          <w:rFonts w:asciiTheme="minorEastAsia" w:hAnsiTheme="minorEastAsia" w:cstheme="minorEastAsia"/>
          <w:b/>
          <w:bCs/>
          <w:kern w:val="0"/>
          <w:position w:val="-2"/>
          <w:sz w:val="24"/>
          <w:szCs w:val="24"/>
        </w:rPr>
      </w:pPr>
      <w:r>
        <w:rPr>
          <w:rFonts w:hint="eastAsia" w:asciiTheme="minorEastAsia" w:hAnsiTheme="minorEastAsia" w:cstheme="minorEastAsia"/>
          <w:b/>
          <w:bCs/>
          <w:kern w:val="0"/>
          <w:position w:val="-2"/>
          <w:sz w:val="24"/>
          <w:szCs w:val="24"/>
        </w:rPr>
        <w:t>9.1 基本要求指标</w:t>
      </w:r>
    </w:p>
    <w:p>
      <w:pPr>
        <w:adjustRightInd w:val="0"/>
        <w:snapToGri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基本要求指标是所有指标中最基本的要求，其中所有细分指标都具有一票否决权（即不符合其中一项就失去绿色工厂的资格）。它的二级指标包括合规性要求与相关方要求、管理职责要求、运行时间要求。</w:t>
      </w:r>
    </w:p>
    <w:p>
      <w:pPr>
        <w:autoSpaceDE w:val="0"/>
        <w:autoSpaceDN w:val="0"/>
        <w:adjustRightInd w:val="0"/>
        <w:spacing w:before="120" w:beforeLines="50" w:after="120" w:afterLines="50" w:line="480" w:lineRule="exact"/>
        <w:jc w:val="left"/>
        <w:rPr>
          <w:rFonts w:asciiTheme="minorEastAsia" w:hAnsiTheme="minorEastAsia" w:cstheme="minorEastAsia"/>
          <w:b/>
          <w:bCs/>
          <w:kern w:val="0"/>
          <w:position w:val="-2"/>
          <w:sz w:val="24"/>
          <w:szCs w:val="24"/>
        </w:rPr>
      </w:pPr>
      <w:r>
        <w:rPr>
          <w:rFonts w:hint="eastAsia" w:asciiTheme="minorEastAsia" w:hAnsiTheme="minorEastAsia" w:cstheme="minorEastAsia"/>
          <w:b/>
          <w:bCs/>
          <w:kern w:val="0"/>
          <w:position w:val="-2"/>
          <w:sz w:val="24"/>
          <w:szCs w:val="24"/>
        </w:rPr>
        <w:t>9.2 基础设施指标</w:t>
      </w:r>
    </w:p>
    <w:p>
      <w:pPr>
        <w:adjustRightInd w:val="0"/>
        <w:snapToGrid w:val="0"/>
        <w:spacing w:line="480" w:lineRule="exact"/>
        <w:ind w:firstLine="480" w:firstLineChars="200"/>
        <w:jc w:val="left"/>
        <w:rPr>
          <w:rFonts w:ascii="微软雅黑" w:hAnsi="Times New Roman" w:eastAsia="微软雅黑" w:cs="微软雅黑"/>
          <w:kern w:val="0"/>
          <w:sz w:val="20"/>
          <w:szCs w:val="20"/>
        </w:rPr>
      </w:pPr>
      <w:r>
        <w:rPr>
          <w:rFonts w:hint="eastAsia" w:asciiTheme="minorEastAsia" w:hAnsiTheme="minorEastAsia" w:cstheme="minorEastAsia"/>
          <w:sz w:val="24"/>
          <w:szCs w:val="24"/>
        </w:rPr>
        <w:t>在一级指标中基础设施指标是指为生产及辅助过程服务的硬件设施，它所占的权重为20%，它从工厂的总体规划；建筑的合法合规、环保；照明的节能；工艺技术的先进性；专用设备、通用设备、计量设备的高效合理性以及污染物处理设备设施的标准提出了相关的要求。它的相关二级指标包括建筑、 照明、工艺及设施、通用设备、专用设备、计量设备和污染物处理设备设施。</w:t>
      </w:r>
    </w:p>
    <w:p>
      <w:pPr>
        <w:autoSpaceDE w:val="0"/>
        <w:autoSpaceDN w:val="0"/>
        <w:adjustRightInd w:val="0"/>
        <w:spacing w:before="120" w:beforeLines="50" w:after="120" w:afterLines="50" w:line="480" w:lineRule="exact"/>
        <w:jc w:val="left"/>
        <w:rPr>
          <w:rFonts w:ascii="Microsoft JhengHei" w:hAnsi="Times New Roman" w:eastAsia="Microsoft JhengHei" w:cs="Microsoft JhengHei"/>
          <w:kern w:val="0"/>
          <w:sz w:val="28"/>
          <w:szCs w:val="28"/>
        </w:rPr>
      </w:pPr>
      <w:r>
        <w:rPr>
          <w:rFonts w:hint="eastAsia" w:asciiTheme="minorEastAsia" w:hAnsiTheme="minorEastAsia" w:cstheme="minorEastAsia"/>
          <w:b/>
          <w:bCs/>
          <w:kern w:val="0"/>
          <w:position w:val="-2"/>
          <w:sz w:val="24"/>
          <w:szCs w:val="24"/>
        </w:rPr>
        <w:t>9.3 管理体系指标</w:t>
      </w:r>
    </w:p>
    <w:p>
      <w:pPr>
        <w:adjustRightInd w:val="0"/>
        <w:snapToGrid w:val="0"/>
        <w:spacing w:line="480" w:lineRule="exact"/>
        <w:ind w:firstLine="480" w:firstLineChars="200"/>
        <w:jc w:val="left"/>
        <w:rPr>
          <w:rFonts w:ascii="微软雅黑" w:hAnsi="Times New Roman" w:eastAsia="微软雅黑" w:cs="微软雅黑"/>
          <w:kern w:val="0"/>
          <w:sz w:val="20"/>
          <w:szCs w:val="20"/>
        </w:rPr>
      </w:pPr>
      <w:r>
        <w:rPr>
          <w:rFonts w:hint="eastAsia" w:asciiTheme="minorEastAsia" w:hAnsiTheme="minorEastAsia" w:cstheme="minorEastAsia"/>
          <w:sz w:val="24"/>
          <w:szCs w:val="24"/>
        </w:rPr>
        <w:t>管理体系指标是定性指标，所占权重为15%。主要包括质量管理体系、职业健康安全管理体系、环境管理体系、能源管理体系和社会责任五个二级指标。同时，各体系宜通过第三方认证并持续保持有效状态。</w:t>
      </w:r>
    </w:p>
    <w:p>
      <w:pPr>
        <w:autoSpaceDE w:val="0"/>
        <w:autoSpaceDN w:val="0"/>
        <w:adjustRightInd w:val="0"/>
        <w:spacing w:before="120" w:beforeLines="50" w:after="120" w:afterLines="50" w:line="480" w:lineRule="exact"/>
        <w:jc w:val="left"/>
        <w:rPr>
          <w:rFonts w:ascii="Microsoft JhengHei" w:hAnsi="Times New Roman" w:eastAsia="Microsoft JhengHei" w:cs="Microsoft JhengHei"/>
          <w:kern w:val="0"/>
          <w:sz w:val="28"/>
          <w:szCs w:val="28"/>
        </w:rPr>
      </w:pPr>
      <w:r>
        <w:rPr>
          <w:rFonts w:hint="eastAsia" w:asciiTheme="minorEastAsia" w:hAnsiTheme="minorEastAsia" w:cstheme="minorEastAsia"/>
          <w:b/>
          <w:bCs/>
          <w:kern w:val="0"/>
          <w:position w:val="-2"/>
          <w:sz w:val="24"/>
          <w:szCs w:val="24"/>
        </w:rPr>
        <w:t>9</w:t>
      </w:r>
      <w:r>
        <w:rPr>
          <w:rFonts w:asciiTheme="minorEastAsia" w:hAnsiTheme="minorEastAsia" w:cstheme="minorEastAsia"/>
          <w:b/>
          <w:bCs/>
          <w:kern w:val="0"/>
          <w:position w:val="-2"/>
          <w:sz w:val="24"/>
          <w:szCs w:val="24"/>
        </w:rPr>
        <w:t>.4 能源与资源投入指标</w:t>
      </w:r>
    </w:p>
    <w:p>
      <w:pPr>
        <w:adjustRightInd w:val="0"/>
        <w:snapToGri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能源与资源投入指标是定性指标，所占权重为15%。主要包括能源投入、资源投入和采购三个二级指标。在能源投入方面，厂家应根据现实情况优化产能结构，尽量减少不可再生能源的投入，选择使用清洁高效能源，提高能源回收利用率。在资源投入上，按照GB/T 29115的要求对原材料使用量进行评价，按照GB/T 7119的要求开展节水评价，减少水资源的消耗，宜使用回收料和可回收料代替不可回收料。在采购上，应制定并实施节能、节水、环保、能效选择的准则，在资源采购上宜满足绿色供应链评价要求。</w:t>
      </w:r>
    </w:p>
    <w:p>
      <w:pPr>
        <w:keepNext w:val="0"/>
        <w:keepLines w:val="0"/>
        <w:pageBreakBefore w:val="0"/>
        <w:widowControl w:val="0"/>
        <w:kinsoku/>
        <w:wordWrap/>
        <w:overflowPunct/>
        <w:topLinePunct w:val="0"/>
        <w:autoSpaceDE w:val="0"/>
        <w:autoSpaceDN w:val="0"/>
        <w:bidi w:val="0"/>
        <w:adjustRightInd w:val="0"/>
        <w:snapToGrid/>
        <w:spacing w:before="120" w:beforeLines="50" w:after="120" w:afterLines="50" w:line="480" w:lineRule="exact"/>
        <w:jc w:val="left"/>
        <w:textAlignment w:val="auto"/>
        <w:rPr>
          <w:rFonts w:ascii="Microsoft JhengHei" w:hAnsi="Times New Roman" w:eastAsia="Microsoft JhengHei" w:cs="Microsoft JhengHei"/>
          <w:kern w:val="0"/>
          <w:sz w:val="28"/>
          <w:szCs w:val="28"/>
        </w:rPr>
      </w:pPr>
      <w:r>
        <w:rPr>
          <w:rFonts w:hint="eastAsia" w:asciiTheme="minorEastAsia" w:hAnsiTheme="minorEastAsia" w:cstheme="minorEastAsia"/>
          <w:b/>
          <w:bCs/>
          <w:kern w:val="0"/>
          <w:position w:val="-2"/>
          <w:sz w:val="24"/>
          <w:szCs w:val="24"/>
        </w:rPr>
        <w:t>9</w:t>
      </w:r>
      <w:r>
        <w:rPr>
          <w:rFonts w:asciiTheme="minorEastAsia" w:hAnsiTheme="minorEastAsia" w:cstheme="minorEastAsia"/>
          <w:b/>
          <w:bCs/>
          <w:kern w:val="0"/>
          <w:position w:val="-2"/>
          <w:sz w:val="24"/>
          <w:szCs w:val="24"/>
        </w:rPr>
        <w:t>.5 生产过程及产品指标</w:t>
      </w:r>
    </w:p>
    <w:p>
      <w:pPr>
        <w:adjustRightInd w:val="0"/>
        <w:snapToGrid w:val="0"/>
        <w:spacing w:line="480" w:lineRule="exact"/>
        <w:ind w:firstLine="480" w:firstLineChars="200"/>
        <w:jc w:val="left"/>
        <w:rPr>
          <w:rFonts w:ascii="微软雅黑" w:hAnsi="Times New Roman" w:eastAsia="微软雅黑" w:cs="微软雅黑"/>
          <w:kern w:val="0"/>
          <w:sz w:val="20"/>
          <w:szCs w:val="20"/>
        </w:rPr>
      </w:pPr>
      <w:r>
        <w:rPr>
          <w:rFonts w:hint="eastAsia" w:asciiTheme="minorEastAsia" w:hAnsiTheme="minorEastAsia" w:cstheme="minorEastAsia"/>
          <w:sz w:val="24"/>
          <w:szCs w:val="24"/>
        </w:rPr>
        <w:t>生产过程及产品指标所占权重为10%，包含生产过程、产品两个二级指标。在生产过程方面，应按照GB/T 33000开展安全生产标准化工作，并达到安全标准化二级及以上标准。在生态设计方面，工厂应在复合肥设计中按照 GB/T 24256引入生态设计的理念。磷酸一铵、磷酸二铵产品能耗消耗应符合</w:t>
      </w:r>
      <w:r>
        <w:rPr>
          <w:rFonts w:hint="eastAsia" w:ascii="宋体" w:hAnsi="宋体" w:eastAsia="宋体"/>
        </w:rPr>
        <w:t>对</w:t>
      </w:r>
      <w:r>
        <w:rPr>
          <w:rFonts w:hint="eastAsia" w:asciiTheme="minorEastAsia" w:hAnsiTheme="minorEastAsia" w:cstheme="minorEastAsia"/>
          <w:sz w:val="24"/>
          <w:szCs w:val="24"/>
        </w:rPr>
        <w:t>应GB 29138、GB 29139的要求。</w:t>
      </w:r>
    </w:p>
    <w:p>
      <w:pPr>
        <w:keepNext w:val="0"/>
        <w:keepLines w:val="0"/>
        <w:pageBreakBefore w:val="0"/>
        <w:widowControl w:val="0"/>
        <w:kinsoku/>
        <w:wordWrap/>
        <w:overflowPunct/>
        <w:topLinePunct w:val="0"/>
        <w:autoSpaceDE/>
        <w:autoSpaceDN/>
        <w:bidi w:val="0"/>
        <w:adjustRightInd w:val="0"/>
        <w:snapToGrid w:val="0"/>
        <w:spacing w:before="120" w:beforeLines="50" w:after="120" w:afterLines="50" w:line="480" w:lineRule="exact"/>
        <w:jc w:val="left"/>
        <w:textAlignment w:val="auto"/>
        <w:rPr>
          <w:rFonts w:ascii="Microsoft JhengHei" w:hAnsi="Times New Roman" w:eastAsia="Microsoft JhengHei" w:cs="Microsoft JhengHei"/>
          <w:kern w:val="0"/>
          <w:sz w:val="28"/>
          <w:szCs w:val="28"/>
        </w:rPr>
      </w:pPr>
      <w:r>
        <w:rPr>
          <w:rFonts w:hint="eastAsia" w:asciiTheme="minorEastAsia" w:hAnsiTheme="minorEastAsia" w:cstheme="minorEastAsia"/>
          <w:b/>
          <w:bCs/>
          <w:sz w:val="24"/>
          <w:szCs w:val="24"/>
        </w:rPr>
        <w:t>9.6 环境排放指标</w:t>
      </w:r>
    </w:p>
    <w:p>
      <w:pPr>
        <w:adjustRightInd w:val="0"/>
        <w:snapToGri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环境排放指标所占权重为10%，主要考核大气、水、固废、噪声、温室气体排放、土壤及地下水、生态保护、环境风险管理方面来考量。主要用于考核复合肥生产企业环保治理的效果。</w:t>
      </w:r>
    </w:p>
    <w:p>
      <w:pPr>
        <w:adjustRightInd w:val="0"/>
        <w:snapToGri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工厂需满足国家排污许可要求，并建立污染物排放监测制度，制定监测方案，对污染物排放状况及对厂界环境质量的影响开展自行监测，并保存原始监测记录。</w:t>
      </w:r>
    </w:p>
    <w:p>
      <w:pPr>
        <w:adjustRightInd w:val="0"/>
        <w:snapToGrid w:val="0"/>
        <w:spacing w:line="480" w:lineRule="exact"/>
        <w:ind w:firstLine="480" w:firstLineChars="200"/>
        <w:jc w:val="left"/>
        <w:rPr>
          <w:rFonts w:ascii="宋体" w:hAnsi="宋体" w:eastAsia="宋体" w:cs="宋体"/>
          <w:sz w:val="24"/>
          <w:szCs w:val="24"/>
        </w:rPr>
      </w:pPr>
      <w:r>
        <w:rPr>
          <w:rFonts w:hint="eastAsia" w:ascii="宋体" w:hAnsi="宋体" w:eastAsia="宋体" w:cs="宋体"/>
          <w:color w:val="000000"/>
          <w:kern w:val="0"/>
          <w:sz w:val="24"/>
          <w:szCs w:val="24"/>
        </w:rPr>
        <w:t>大气污染物排放应符合</w:t>
      </w:r>
      <w:r>
        <w:rPr>
          <w:rFonts w:hint="eastAsia" w:ascii="宋体" w:hAnsi="宋体" w:eastAsia="宋体" w:cs="宋体"/>
          <w:sz w:val="24"/>
          <w:szCs w:val="24"/>
        </w:rPr>
        <w:t>GB 3095、</w:t>
      </w:r>
      <w:r>
        <w:rPr>
          <w:rFonts w:hint="eastAsia" w:ascii="宋体" w:hAnsi="宋体" w:eastAsia="宋体" w:cs="宋体"/>
          <w:color w:val="000000"/>
          <w:kern w:val="0"/>
          <w:sz w:val="24"/>
          <w:szCs w:val="24"/>
        </w:rPr>
        <w:t>GB 13223、GB 13271、GB 14554、</w:t>
      </w:r>
      <w:r>
        <w:rPr>
          <w:rFonts w:hint="eastAsia" w:ascii="宋体" w:hAnsi="宋体" w:eastAsia="宋体" w:cs="宋体"/>
          <w:sz w:val="24"/>
          <w:szCs w:val="24"/>
        </w:rPr>
        <w:t>GB 16297</w:t>
      </w:r>
      <w:r>
        <w:rPr>
          <w:rFonts w:hint="eastAsia" w:ascii="宋体" w:hAnsi="宋体" w:eastAsia="宋体" w:cs="宋体"/>
          <w:color w:val="000000"/>
          <w:kern w:val="0"/>
          <w:sz w:val="24"/>
          <w:szCs w:val="24"/>
        </w:rPr>
        <w:t>等相关国家、行业及地方标准要求，并满足排污许可的要求。</w:t>
      </w:r>
    </w:p>
    <w:p>
      <w:pPr>
        <w:adjustRightInd w:val="0"/>
        <w:snapToGrid w:val="0"/>
        <w:spacing w:line="480" w:lineRule="exact"/>
        <w:ind w:firstLine="480" w:firstLineChars="200"/>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水污染物排放应满足国家、行业及地方标准要求，并符合排污许可的要求。</w:t>
      </w:r>
    </w:p>
    <w:p>
      <w:pPr>
        <w:adjustRightInd w:val="0"/>
        <w:snapToGrid w:val="0"/>
        <w:spacing w:line="480" w:lineRule="exact"/>
        <w:ind w:firstLine="480" w:firstLineChars="200"/>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固体废物的收集、贮存、运输、处置、利用应符合GB 18599、GB 18597、</w:t>
      </w:r>
      <w:r>
        <w:rPr>
          <w:rFonts w:hint="eastAsia" w:ascii="宋体" w:hAnsi="宋体" w:eastAsia="宋体" w:cs="宋体"/>
          <w:color w:val="000000"/>
          <w:sz w:val="24"/>
          <w:szCs w:val="24"/>
        </w:rPr>
        <w:t>GB</w:t>
      </w:r>
      <w:r>
        <w:rPr>
          <w:rFonts w:hint="eastAsia" w:ascii="宋体" w:hAnsi="宋体" w:eastAsia="宋体" w:cs="宋体"/>
          <w:color w:val="000000"/>
          <w:kern w:val="0"/>
          <w:sz w:val="24"/>
          <w:szCs w:val="24"/>
        </w:rPr>
        <w:t xml:space="preserve"> </w:t>
      </w:r>
      <w:r>
        <w:rPr>
          <w:rFonts w:hint="eastAsia" w:ascii="宋体" w:hAnsi="宋体" w:eastAsia="宋体" w:cs="宋体"/>
          <w:color w:val="000000"/>
          <w:sz w:val="24"/>
          <w:szCs w:val="24"/>
        </w:rPr>
        <w:t>18598、GB</w:t>
      </w:r>
      <w:r>
        <w:rPr>
          <w:rFonts w:hint="eastAsia" w:ascii="宋体" w:hAnsi="宋体" w:eastAsia="宋体" w:cs="宋体"/>
          <w:color w:val="000000"/>
          <w:kern w:val="0"/>
          <w:sz w:val="24"/>
          <w:szCs w:val="24"/>
        </w:rPr>
        <w:t xml:space="preserve"> </w:t>
      </w:r>
      <w:r>
        <w:rPr>
          <w:rFonts w:hint="eastAsia" w:ascii="宋体" w:hAnsi="宋体" w:eastAsia="宋体" w:cs="宋体"/>
          <w:color w:val="000000"/>
          <w:sz w:val="24"/>
          <w:szCs w:val="24"/>
        </w:rPr>
        <w:t>18484</w:t>
      </w:r>
      <w:r>
        <w:rPr>
          <w:rFonts w:hint="eastAsia" w:ascii="宋体" w:hAnsi="宋体" w:eastAsia="宋体" w:cs="宋体"/>
          <w:color w:val="000000"/>
          <w:kern w:val="0"/>
          <w:sz w:val="24"/>
          <w:szCs w:val="24"/>
        </w:rPr>
        <w:t>等国家和地方相关标准及法律法规要求。工厂无法自行处理的，应将固体废物转交给具备相应能力和资质的处理厂进行处理。</w:t>
      </w:r>
    </w:p>
    <w:p>
      <w:pPr>
        <w:adjustRightInd w:val="0"/>
        <w:snapToGrid w:val="0"/>
        <w:spacing w:line="480" w:lineRule="exact"/>
        <w:ind w:firstLine="480" w:firstLineChars="200"/>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厂界噪声应满足GB 12348和地方主管部门的要求。</w:t>
      </w:r>
    </w:p>
    <w:p>
      <w:pPr>
        <w:adjustRightInd w:val="0"/>
        <w:snapToGrid w:val="0"/>
        <w:spacing w:line="480" w:lineRule="exact"/>
        <w:ind w:firstLine="480" w:firstLineChars="200"/>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温室气体排放应建立监测体系。</w:t>
      </w:r>
    </w:p>
    <w:p>
      <w:pPr>
        <w:adjustRightInd w:val="0"/>
        <w:snapToGrid w:val="0"/>
        <w:spacing w:line="480" w:lineRule="exact"/>
        <w:ind w:firstLine="480" w:firstLineChars="200"/>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土壤和地下水应定期开展监测，并制定风险防控方案。</w:t>
      </w:r>
    </w:p>
    <w:p>
      <w:pPr>
        <w:adjustRightInd w:val="0"/>
        <w:snapToGrid w:val="0"/>
        <w:spacing w:line="480" w:lineRule="exact"/>
        <w:ind w:firstLine="480" w:firstLineChars="200"/>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厂（场）选址、布局符合生态功能区划和生态红线的有关要求。</w:t>
      </w:r>
    </w:p>
    <w:p>
      <w:pPr>
        <w:adjustRightInd w:val="0"/>
        <w:snapToGrid w:val="0"/>
        <w:spacing w:line="480" w:lineRule="exact"/>
        <w:ind w:firstLine="480" w:firstLineChars="200"/>
        <w:jc w:val="left"/>
        <w:rPr>
          <w:rFonts w:ascii="宋体" w:hAnsi="宋体" w:eastAsia="宋体" w:cs="宋体"/>
          <w:kern w:val="0"/>
          <w:sz w:val="24"/>
          <w:szCs w:val="24"/>
        </w:rPr>
      </w:pPr>
      <w:r>
        <w:rPr>
          <w:rFonts w:hint="eastAsia" w:ascii="宋体" w:hAnsi="宋体" w:eastAsia="宋体" w:cs="宋体"/>
          <w:color w:val="000000"/>
          <w:kern w:val="0"/>
          <w:sz w:val="24"/>
          <w:szCs w:val="24"/>
        </w:rPr>
        <w:t>应落实突发环境事件风险评估制度，实施环境风险分类分级管理。</w:t>
      </w:r>
    </w:p>
    <w:p>
      <w:pPr>
        <w:adjustRightInd w:val="0"/>
        <w:snapToGrid w:val="0"/>
        <w:spacing w:before="120" w:beforeLines="50" w:after="120" w:afterLines="50" w:line="480" w:lineRule="exact"/>
        <w:jc w:val="left"/>
        <w:rPr>
          <w:rFonts w:ascii="Microsoft JhengHei" w:hAnsi="Times New Roman" w:eastAsia="Microsoft JhengHei" w:cs="Microsoft JhengHei"/>
          <w:kern w:val="0"/>
          <w:sz w:val="28"/>
          <w:szCs w:val="28"/>
        </w:rPr>
      </w:pPr>
      <w:r>
        <w:rPr>
          <w:rFonts w:hint="eastAsia" w:asciiTheme="minorEastAsia" w:hAnsiTheme="minorEastAsia" w:cstheme="minorEastAsia"/>
          <w:b/>
          <w:bCs/>
          <w:sz w:val="24"/>
          <w:szCs w:val="24"/>
        </w:rPr>
        <w:t>9</w:t>
      </w:r>
      <w:r>
        <w:rPr>
          <w:rFonts w:asciiTheme="minorEastAsia" w:hAnsiTheme="minorEastAsia" w:cstheme="minorEastAsia"/>
          <w:b/>
          <w:bCs/>
          <w:sz w:val="24"/>
          <w:szCs w:val="24"/>
        </w:rPr>
        <w:t>.7 绩效指标</w:t>
      </w:r>
    </w:p>
    <w:p>
      <w:pPr>
        <w:adjustRightInd w:val="0"/>
        <w:snapToGrid w:val="0"/>
        <w:spacing w:line="480" w:lineRule="exact"/>
        <w:ind w:firstLine="480" w:firstLineChars="200"/>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绩效指标均主要为定量指标，所占权重为30%，包括了用地集约化、生产洁净化、废物资源化和能源低碳化四个二级指标。</w:t>
      </w:r>
    </w:p>
    <w:p>
      <w:pPr>
        <w:adjustRightInd w:val="0"/>
        <w:snapToGrid w:val="0"/>
        <w:spacing w:line="480" w:lineRule="exact"/>
        <w:ind w:firstLine="480" w:firstLineChars="200"/>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用地集约化方面：工厂容积率大于等于0.6、建筑密度大于等于30%、单位用地面积产值不低于地方发布的单位用地面积产值的要求；未发布单位用地面积产值的地区，应不低于本年度所在省市的单位用地面积产值。</w:t>
      </w:r>
    </w:p>
    <w:p>
      <w:pPr>
        <w:adjustRightInd w:val="0"/>
        <w:snapToGrid w:val="0"/>
        <w:spacing w:line="480" w:lineRule="exact"/>
        <w:ind w:firstLine="480" w:firstLineChars="200"/>
        <w:jc w:val="left"/>
        <w:rPr>
          <w:rFonts w:ascii="宋体" w:hAnsi="宋体" w:eastAsia="宋体" w:cs="宋体"/>
          <w:sz w:val="24"/>
          <w:szCs w:val="24"/>
        </w:rPr>
      </w:pPr>
      <w:r>
        <w:rPr>
          <w:rFonts w:hint="eastAsia" w:ascii="宋体" w:hAnsi="宋体" w:eastAsia="宋体" w:cs="宋体"/>
          <w:color w:val="000000"/>
          <w:kern w:val="0"/>
          <w:sz w:val="24"/>
          <w:szCs w:val="24"/>
        </w:rPr>
        <w:t>生产洁净化方面：吨磷酸一铵、磷酸二铵废水、废气、固废产生量</w:t>
      </w:r>
      <w:r>
        <w:rPr>
          <w:rFonts w:hint="eastAsia" w:ascii="宋体" w:hAnsi="宋体" w:eastAsia="宋体" w:cs="宋体"/>
          <w:color w:val="000000"/>
          <w:kern w:val="0"/>
          <w:sz w:val="24"/>
          <w:szCs w:val="24"/>
          <w:lang w:val="en-US" w:eastAsia="zh-CN"/>
        </w:rPr>
        <w:t>应</w:t>
      </w:r>
      <w:r>
        <w:rPr>
          <w:rFonts w:hint="eastAsia" w:ascii="宋体" w:hAnsi="宋体" w:eastAsia="宋体" w:cs="宋体"/>
          <w:color w:val="000000"/>
          <w:kern w:val="0"/>
          <w:sz w:val="24"/>
          <w:szCs w:val="24"/>
        </w:rPr>
        <w:t>符合相关国家、地方有关部门的要求。根据磷酸一铵、磷酸二铵实际生产工艺类型及产品类型，吨磷铵大气污染物排放中颗粒物应优于行业平均水平，即传统法磷酸一铵≤90</w:t>
      </w:r>
      <w:r>
        <w:rPr>
          <w:rFonts w:hint="eastAsia" w:ascii="宋体" w:hAnsi="宋体" w:eastAsia="宋体" w:cs="宋体"/>
          <w:sz w:val="24"/>
          <w:szCs w:val="24"/>
        </w:rPr>
        <w:t>g/t</w:t>
      </w:r>
      <w:r>
        <w:rPr>
          <w:rFonts w:hint="eastAsia" w:ascii="宋体" w:hAnsi="宋体" w:eastAsia="宋体" w:cs="宋体"/>
          <w:color w:val="000000"/>
          <w:kern w:val="0"/>
          <w:sz w:val="24"/>
          <w:szCs w:val="24"/>
        </w:rPr>
        <w:t>、磷酸二铵≤90</w:t>
      </w:r>
      <w:r>
        <w:rPr>
          <w:rFonts w:hint="eastAsia" w:ascii="宋体" w:hAnsi="宋体" w:eastAsia="宋体" w:cs="宋体"/>
          <w:sz w:val="24"/>
          <w:szCs w:val="24"/>
        </w:rPr>
        <w:t>g/t；料浆</w:t>
      </w:r>
      <w:r>
        <w:rPr>
          <w:rFonts w:hint="eastAsia" w:ascii="宋体" w:hAnsi="宋体" w:eastAsia="宋体" w:cs="宋体"/>
          <w:color w:val="000000"/>
          <w:kern w:val="0"/>
          <w:sz w:val="24"/>
          <w:szCs w:val="24"/>
        </w:rPr>
        <w:t>法磷酸一铵≤100</w:t>
      </w:r>
      <w:r>
        <w:rPr>
          <w:rFonts w:hint="eastAsia" w:ascii="宋体" w:hAnsi="宋体" w:eastAsia="宋体" w:cs="宋体"/>
          <w:sz w:val="24"/>
          <w:szCs w:val="24"/>
        </w:rPr>
        <w:t>g/t</w:t>
      </w:r>
      <w:r>
        <w:rPr>
          <w:rFonts w:hint="eastAsia" w:ascii="宋体" w:hAnsi="宋体" w:eastAsia="宋体" w:cs="宋体"/>
          <w:color w:val="000000"/>
          <w:kern w:val="0"/>
          <w:sz w:val="24"/>
          <w:szCs w:val="24"/>
        </w:rPr>
        <w:t>、磷酸二铵≤100</w:t>
      </w:r>
      <w:r>
        <w:rPr>
          <w:rFonts w:hint="eastAsia" w:ascii="宋体" w:hAnsi="宋体" w:eastAsia="宋体" w:cs="宋体"/>
          <w:sz w:val="24"/>
          <w:szCs w:val="24"/>
        </w:rPr>
        <w:t>g/t；</w:t>
      </w:r>
      <w:r>
        <w:rPr>
          <w:rFonts w:hint="eastAsia" w:ascii="宋体" w:hAnsi="宋体" w:eastAsia="宋体" w:cs="宋体"/>
          <w:color w:val="000000"/>
          <w:kern w:val="0"/>
          <w:sz w:val="24"/>
          <w:szCs w:val="24"/>
        </w:rPr>
        <w:t>吨磷铵大气污染物排放中氨应优于行业平均水平，即传统法磷酸一铵≤60</w:t>
      </w:r>
      <w:r>
        <w:rPr>
          <w:rFonts w:hint="eastAsia" w:ascii="宋体" w:hAnsi="宋体" w:eastAsia="宋体" w:cs="宋体"/>
          <w:sz w:val="24"/>
          <w:szCs w:val="24"/>
        </w:rPr>
        <w:t>g/t</w:t>
      </w:r>
      <w:r>
        <w:rPr>
          <w:rFonts w:hint="eastAsia" w:ascii="宋体" w:hAnsi="宋体" w:eastAsia="宋体" w:cs="宋体"/>
          <w:color w:val="000000"/>
          <w:kern w:val="0"/>
          <w:sz w:val="24"/>
          <w:szCs w:val="24"/>
        </w:rPr>
        <w:t>、磷酸二铵≤70</w:t>
      </w:r>
      <w:r>
        <w:rPr>
          <w:rFonts w:hint="eastAsia" w:ascii="宋体" w:hAnsi="宋体" w:eastAsia="宋体" w:cs="宋体"/>
          <w:sz w:val="24"/>
          <w:szCs w:val="24"/>
        </w:rPr>
        <w:t>g/t；料浆</w:t>
      </w:r>
      <w:r>
        <w:rPr>
          <w:rFonts w:hint="eastAsia" w:ascii="宋体" w:hAnsi="宋体" w:eastAsia="宋体" w:cs="宋体"/>
          <w:color w:val="000000"/>
          <w:kern w:val="0"/>
          <w:sz w:val="24"/>
          <w:szCs w:val="24"/>
        </w:rPr>
        <w:t>法磷酸一铵≤60</w:t>
      </w:r>
      <w:r>
        <w:rPr>
          <w:rFonts w:hint="eastAsia" w:ascii="宋体" w:hAnsi="宋体" w:eastAsia="宋体" w:cs="宋体"/>
          <w:sz w:val="24"/>
          <w:szCs w:val="24"/>
        </w:rPr>
        <w:t>g/t</w:t>
      </w:r>
      <w:r>
        <w:rPr>
          <w:rFonts w:hint="eastAsia" w:ascii="宋体" w:hAnsi="宋体" w:eastAsia="宋体" w:cs="宋体"/>
          <w:color w:val="000000"/>
          <w:kern w:val="0"/>
          <w:sz w:val="24"/>
          <w:szCs w:val="24"/>
        </w:rPr>
        <w:t>、磷酸二铵≤70</w:t>
      </w:r>
      <w:r>
        <w:rPr>
          <w:rFonts w:hint="eastAsia" w:ascii="宋体" w:hAnsi="宋体" w:eastAsia="宋体" w:cs="宋体"/>
          <w:sz w:val="24"/>
          <w:szCs w:val="24"/>
        </w:rPr>
        <w:t>g/t。考虑到实际行业中很多工厂即生产磷酸一铵、又生产磷酸二铵，在这种情况下，根据统计期内二种磷铵产品的实际产量，通过加权评价计算法来确定吨磷铵大气污染物排放中颗粒物、铵的限定值。</w:t>
      </w:r>
    </w:p>
    <w:p>
      <w:pPr>
        <w:adjustRightInd w:val="0"/>
        <w:snapToGrid w:val="0"/>
        <w:spacing w:line="480" w:lineRule="exact"/>
        <w:ind w:firstLine="480" w:firstLineChars="200"/>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废物资源化方面：根据磷酸一铵、磷酸二铵实际生产工艺类型及产品类型，吨磷铵生产原料氮损耗率应优于行业平均水平，即传统法磷酸一铵≤1%、磷酸二铵≤1.5%</w:t>
      </w:r>
      <w:r>
        <w:rPr>
          <w:rFonts w:hint="eastAsia" w:ascii="宋体" w:hAnsi="宋体" w:eastAsia="宋体" w:cs="宋体"/>
          <w:sz w:val="24"/>
          <w:szCs w:val="24"/>
        </w:rPr>
        <w:t>；料浆</w:t>
      </w:r>
      <w:r>
        <w:rPr>
          <w:rFonts w:hint="eastAsia" w:ascii="宋体" w:hAnsi="宋体" w:eastAsia="宋体" w:cs="宋体"/>
          <w:color w:val="000000"/>
          <w:kern w:val="0"/>
          <w:sz w:val="24"/>
          <w:szCs w:val="24"/>
        </w:rPr>
        <w:t>法磷酸一铵≤1%、磷酸二铵≤1.5%</w:t>
      </w:r>
      <w:r>
        <w:rPr>
          <w:rFonts w:hint="eastAsia" w:ascii="宋体" w:hAnsi="宋体" w:eastAsia="宋体" w:cs="宋体"/>
          <w:sz w:val="24"/>
          <w:szCs w:val="24"/>
        </w:rPr>
        <w:t>；</w:t>
      </w:r>
      <w:r>
        <w:rPr>
          <w:rFonts w:hint="eastAsia" w:ascii="宋体" w:hAnsi="宋体" w:eastAsia="宋体" w:cs="宋体"/>
          <w:color w:val="000000"/>
          <w:kern w:val="0"/>
          <w:sz w:val="24"/>
          <w:szCs w:val="24"/>
        </w:rPr>
        <w:t>吨磷铵生产原料磷损耗率应优于行业平均水平，即传统法磷酸一铵≤0.5%、磷酸二铵≤0.5%</w:t>
      </w:r>
      <w:r>
        <w:rPr>
          <w:rFonts w:hint="eastAsia" w:ascii="宋体" w:hAnsi="宋体" w:eastAsia="宋体" w:cs="宋体"/>
          <w:sz w:val="24"/>
          <w:szCs w:val="24"/>
        </w:rPr>
        <w:t>；料浆</w:t>
      </w:r>
      <w:r>
        <w:rPr>
          <w:rFonts w:hint="eastAsia" w:ascii="宋体" w:hAnsi="宋体" w:eastAsia="宋体" w:cs="宋体"/>
          <w:color w:val="000000"/>
          <w:kern w:val="0"/>
          <w:sz w:val="24"/>
          <w:szCs w:val="24"/>
        </w:rPr>
        <w:t>法磷酸一铵≤0.5%、磷酸二铵≤0.5%</w:t>
      </w:r>
      <w:r>
        <w:rPr>
          <w:rFonts w:hint="eastAsia" w:ascii="宋体" w:hAnsi="宋体" w:eastAsia="宋体" w:cs="宋体"/>
          <w:sz w:val="24"/>
          <w:szCs w:val="24"/>
        </w:rPr>
        <w:t>；考虑到实际行业中很多工厂即生产磷酸一铵、又生产磷酸二铵，在这种情况下，根据统计期内二种磷铵产品的实际产量，通过加权评价计算法来确定吨磷铵</w:t>
      </w:r>
      <w:r>
        <w:rPr>
          <w:rFonts w:hint="eastAsia" w:ascii="宋体" w:hAnsi="宋体" w:eastAsia="宋体" w:cs="宋体"/>
          <w:color w:val="000000"/>
          <w:kern w:val="0"/>
          <w:sz w:val="24"/>
          <w:szCs w:val="24"/>
        </w:rPr>
        <w:t>生产原料氮、磷损耗率限值</w:t>
      </w:r>
      <w:r>
        <w:rPr>
          <w:rFonts w:hint="eastAsia" w:ascii="宋体" w:hAnsi="宋体" w:eastAsia="宋体" w:cs="宋体"/>
          <w:sz w:val="24"/>
          <w:szCs w:val="24"/>
        </w:rPr>
        <w:t>。另外，</w:t>
      </w:r>
      <w:r>
        <w:rPr>
          <w:rFonts w:hint="eastAsia" w:ascii="宋体" w:hAnsi="宋体" w:eastAsia="宋体" w:cs="宋体"/>
          <w:color w:val="000000"/>
          <w:kern w:val="0"/>
          <w:sz w:val="24"/>
          <w:szCs w:val="24"/>
        </w:rPr>
        <w:t>工业固体废物处置处理率为100%；废水回用率达到100%。</w:t>
      </w:r>
    </w:p>
    <w:p>
      <w:pPr>
        <w:adjustRightInd w:val="0"/>
        <w:snapToGrid w:val="0"/>
        <w:spacing w:line="480" w:lineRule="exact"/>
        <w:ind w:firstLine="480" w:firstLineChars="200"/>
        <w:jc w:val="left"/>
        <w:rPr>
          <w:rFonts w:ascii="宋体" w:hAnsi="宋体" w:eastAsia="宋体" w:cs="宋体"/>
          <w:sz w:val="24"/>
          <w:szCs w:val="24"/>
        </w:rPr>
      </w:pPr>
      <w:r>
        <w:rPr>
          <w:rFonts w:hint="eastAsia" w:ascii="宋体" w:hAnsi="宋体" w:eastAsia="宋体" w:cs="宋体"/>
          <w:color w:val="000000"/>
          <w:kern w:val="0"/>
          <w:sz w:val="24"/>
          <w:szCs w:val="24"/>
        </w:rPr>
        <w:t>能源低碳化方面：磷酸一铵、磷酸二铵产品能耗设置了限定值、准入制和先进值三个等级，根据磷酸一铵、磷酸二铵实际生产工艺类型及产品类型，传统法磷酸一铵限定值310kgce/t、准入制290kgce/t、先进值270kgce/t；传统法磷酸二铵限定值325kgce/t、准入制305kgce/t、先进值280kgce/t；料浆法磷酸一铵限定值310kgce/t、准入制210kgce/t、先进值180kgce/t；料浆法磷酸二铵限定值260kgce/t、准入制220kgce/t、先进值208kgce/t。磷铵单位产品碳排放量（kgeCO</w:t>
      </w:r>
      <w:r>
        <w:rPr>
          <w:rFonts w:hint="eastAsia" w:ascii="宋体" w:hAnsi="宋体" w:eastAsia="宋体" w:cs="宋体"/>
          <w:color w:val="000000"/>
          <w:kern w:val="0"/>
          <w:sz w:val="24"/>
          <w:szCs w:val="24"/>
          <w:vertAlign w:val="subscript"/>
        </w:rPr>
        <w:t>2</w:t>
      </w:r>
      <w:r>
        <w:rPr>
          <w:rFonts w:hint="eastAsia" w:ascii="宋体" w:hAnsi="宋体" w:eastAsia="宋体" w:cs="宋体"/>
          <w:color w:val="000000"/>
          <w:kern w:val="0"/>
          <w:sz w:val="24"/>
          <w:szCs w:val="24"/>
        </w:rPr>
        <w:t>/t）应优于行业平均水平，即传统法磷酸一铵≤1100kgeCO</w:t>
      </w:r>
      <w:r>
        <w:rPr>
          <w:rFonts w:hint="eastAsia" w:ascii="宋体" w:hAnsi="宋体" w:eastAsia="宋体" w:cs="宋体"/>
          <w:color w:val="000000"/>
          <w:kern w:val="0"/>
          <w:sz w:val="24"/>
          <w:szCs w:val="24"/>
          <w:vertAlign w:val="subscript"/>
        </w:rPr>
        <w:t>2</w:t>
      </w:r>
      <w:r>
        <w:rPr>
          <w:rFonts w:hint="eastAsia" w:ascii="宋体" w:hAnsi="宋体" w:eastAsia="宋体" w:cs="宋体"/>
          <w:color w:val="000000"/>
          <w:kern w:val="0"/>
          <w:sz w:val="24"/>
          <w:szCs w:val="24"/>
        </w:rPr>
        <w:t>/t、磷酸二铵≤1190kgeCO</w:t>
      </w:r>
      <w:r>
        <w:rPr>
          <w:rFonts w:hint="eastAsia" w:ascii="宋体" w:hAnsi="宋体" w:eastAsia="宋体" w:cs="宋体"/>
          <w:color w:val="000000"/>
          <w:kern w:val="0"/>
          <w:sz w:val="24"/>
          <w:szCs w:val="24"/>
          <w:vertAlign w:val="subscript"/>
        </w:rPr>
        <w:t>2</w:t>
      </w:r>
      <w:r>
        <w:rPr>
          <w:rFonts w:hint="eastAsia" w:ascii="宋体" w:hAnsi="宋体" w:eastAsia="宋体" w:cs="宋体"/>
          <w:color w:val="000000"/>
          <w:kern w:val="0"/>
          <w:sz w:val="24"/>
          <w:szCs w:val="24"/>
        </w:rPr>
        <w:t>/t</w:t>
      </w:r>
      <w:r>
        <w:rPr>
          <w:rFonts w:hint="eastAsia" w:ascii="宋体" w:hAnsi="宋体" w:eastAsia="宋体" w:cs="宋体"/>
          <w:sz w:val="24"/>
          <w:szCs w:val="24"/>
        </w:rPr>
        <w:t>；料浆</w:t>
      </w:r>
      <w:r>
        <w:rPr>
          <w:rFonts w:hint="eastAsia" w:ascii="宋体" w:hAnsi="宋体" w:eastAsia="宋体" w:cs="宋体"/>
          <w:color w:val="000000"/>
          <w:kern w:val="0"/>
          <w:sz w:val="24"/>
          <w:szCs w:val="24"/>
        </w:rPr>
        <w:t>法磷酸一铵≤1100kgeCO</w:t>
      </w:r>
      <w:r>
        <w:rPr>
          <w:rFonts w:hint="eastAsia" w:ascii="宋体" w:hAnsi="宋体" w:eastAsia="宋体" w:cs="宋体"/>
          <w:color w:val="000000"/>
          <w:kern w:val="0"/>
          <w:sz w:val="24"/>
          <w:szCs w:val="24"/>
          <w:vertAlign w:val="subscript"/>
        </w:rPr>
        <w:t>2</w:t>
      </w:r>
      <w:r>
        <w:rPr>
          <w:rFonts w:hint="eastAsia" w:ascii="宋体" w:hAnsi="宋体" w:eastAsia="宋体" w:cs="宋体"/>
          <w:color w:val="000000"/>
          <w:kern w:val="0"/>
          <w:sz w:val="24"/>
          <w:szCs w:val="24"/>
        </w:rPr>
        <w:t>/t、磷酸二铵≤950kgeCO</w:t>
      </w:r>
      <w:r>
        <w:rPr>
          <w:rFonts w:hint="eastAsia" w:ascii="宋体" w:hAnsi="宋体" w:eastAsia="宋体" w:cs="宋体"/>
          <w:color w:val="000000"/>
          <w:kern w:val="0"/>
          <w:sz w:val="24"/>
          <w:szCs w:val="24"/>
          <w:vertAlign w:val="subscript"/>
        </w:rPr>
        <w:t>2</w:t>
      </w:r>
      <w:r>
        <w:rPr>
          <w:rFonts w:hint="eastAsia" w:ascii="宋体" w:hAnsi="宋体" w:eastAsia="宋体" w:cs="宋体"/>
          <w:color w:val="000000"/>
          <w:kern w:val="0"/>
          <w:sz w:val="24"/>
          <w:szCs w:val="24"/>
        </w:rPr>
        <w:t>/t。</w:t>
      </w:r>
      <w:r>
        <w:rPr>
          <w:rFonts w:hint="eastAsia" w:ascii="宋体" w:hAnsi="宋体" w:eastAsia="宋体" w:cs="宋体"/>
          <w:sz w:val="24"/>
          <w:szCs w:val="24"/>
        </w:rPr>
        <w:t>考虑到实际行业中很多工厂即生产磷酸一铵、又生产磷酸二铵，在这种情况下，根据统计期内二种磷铵产品的实际产量，通过加权评价计算法来确定单位产品磷铵综合能耗</w:t>
      </w:r>
      <w:r>
        <w:rPr>
          <w:rFonts w:hint="eastAsia" w:ascii="宋体" w:hAnsi="宋体" w:eastAsia="宋体" w:cs="宋体"/>
          <w:color w:val="000000"/>
          <w:kern w:val="0"/>
          <w:sz w:val="24"/>
          <w:szCs w:val="24"/>
        </w:rPr>
        <w:t>限定值、准入值、先进值</w:t>
      </w:r>
      <w:r>
        <w:rPr>
          <w:rFonts w:hint="eastAsia" w:ascii="宋体" w:hAnsi="宋体" w:eastAsia="宋体" w:cs="宋体"/>
          <w:sz w:val="24"/>
          <w:szCs w:val="24"/>
        </w:rPr>
        <w:t>以及单位产品碳排放量限值。</w:t>
      </w:r>
    </w:p>
    <w:p>
      <w:pPr>
        <w:adjustRightInd w:val="0"/>
        <w:snapToGrid w:val="0"/>
        <w:spacing w:before="120" w:beforeLines="50" w:after="120" w:afterLines="50" w:line="480" w:lineRule="exact"/>
        <w:jc w:val="left"/>
        <w:rPr>
          <w:rFonts w:asciiTheme="minorEastAsia" w:hAnsiTheme="minorEastAsia" w:cstheme="minorEastAsia"/>
          <w:b/>
          <w:bCs/>
          <w:sz w:val="24"/>
          <w:szCs w:val="24"/>
        </w:rPr>
      </w:pPr>
      <w:r>
        <w:rPr>
          <w:rFonts w:asciiTheme="minorEastAsia" w:hAnsiTheme="minorEastAsia" w:cstheme="minorEastAsia"/>
          <w:b/>
          <w:bCs/>
          <w:sz w:val="24"/>
          <w:szCs w:val="24"/>
        </w:rPr>
        <w:t>9</w:t>
      </w:r>
      <w:r>
        <w:rPr>
          <w:rFonts w:hint="eastAsia" w:asciiTheme="minorEastAsia" w:hAnsiTheme="minorEastAsia" w:cstheme="minorEastAsia"/>
          <w:b/>
          <w:bCs/>
          <w:sz w:val="24"/>
          <w:szCs w:val="24"/>
        </w:rPr>
        <w:t xml:space="preserve">.8  </w:t>
      </w:r>
      <w:r>
        <w:rPr>
          <w:rFonts w:asciiTheme="minorEastAsia" w:hAnsiTheme="minorEastAsia" w:cstheme="minorEastAsia"/>
          <w:b/>
          <w:bCs/>
          <w:sz w:val="24"/>
          <w:szCs w:val="24"/>
        </w:rPr>
        <w:t>数据来源</w:t>
      </w:r>
    </w:p>
    <w:p>
      <w:pPr>
        <w:autoSpaceDE w:val="0"/>
        <w:autoSpaceDN w:val="0"/>
        <w:adjustRightInd w:val="0"/>
        <w:spacing w:line="480" w:lineRule="exact"/>
        <w:ind w:left="119" w:right="153" w:firstLine="413"/>
        <w:jc w:val="left"/>
        <w:rPr>
          <w:rFonts w:asciiTheme="minorEastAsia" w:hAnsiTheme="minorEastAsia" w:cstheme="minorEastAsia"/>
          <w:kern w:val="0"/>
          <w:sz w:val="24"/>
          <w:szCs w:val="24"/>
        </w:rPr>
      </w:pPr>
      <w:r>
        <w:rPr>
          <w:rFonts w:hint="eastAsia" w:asciiTheme="minorEastAsia" w:hAnsiTheme="minorEastAsia" w:cstheme="minorEastAsia"/>
          <w:color w:val="000000"/>
          <w:kern w:val="0"/>
          <w:sz w:val="24"/>
          <w:szCs w:val="24"/>
        </w:rPr>
        <w:t>通过向行业多家代表性的企业发送“磷酸一铵、磷酸二铵行业绿色工厂评价要求”意见征求涵进行广泛的相关数据调查并对重点磷酸一铵、磷酸二铵企业实施定向调研等相关统计数据的收集方式，</w:t>
      </w:r>
      <w:r>
        <w:rPr>
          <w:rFonts w:hint="eastAsia" w:asciiTheme="minorEastAsia" w:hAnsiTheme="minorEastAsia" w:cstheme="minorEastAsia"/>
          <w:spacing w:val="-4"/>
          <w:kern w:val="0"/>
          <w:sz w:val="24"/>
          <w:szCs w:val="24"/>
        </w:rPr>
        <w:t>从</w:t>
      </w:r>
      <w:r>
        <w:rPr>
          <w:rFonts w:hint="eastAsia" w:asciiTheme="minorEastAsia" w:hAnsiTheme="minorEastAsia" w:cstheme="minorEastAsia"/>
          <w:spacing w:val="-5"/>
          <w:kern w:val="0"/>
          <w:sz w:val="24"/>
          <w:szCs w:val="24"/>
        </w:rPr>
        <w:t>绿色工厂的</w:t>
      </w:r>
      <w:r>
        <w:rPr>
          <w:rFonts w:hint="eastAsia" w:asciiTheme="minorEastAsia" w:hAnsiTheme="minorEastAsia" w:cstheme="minorEastAsia"/>
          <w:spacing w:val="-4"/>
          <w:kern w:val="0"/>
          <w:sz w:val="24"/>
          <w:szCs w:val="24"/>
        </w:rPr>
        <w:t>七</w:t>
      </w:r>
      <w:r>
        <w:rPr>
          <w:rFonts w:hint="eastAsia" w:asciiTheme="minorEastAsia" w:hAnsiTheme="minorEastAsia" w:cstheme="minorEastAsia"/>
          <w:kern w:val="0"/>
          <w:sz w:val="24"/>
          <w:szCs w:val="24"/>
        </w:rPr>
        <w:t>个</w:t>
      </w:r>
      <w:r>
        <w:rPr>
          <w:rFonts w:hint="eastAsia" w:asciiTheme="minorEastAsia" w:hAnsiTheme="minorEastAsia" w:cstheme="minorEastAsia"/>
          <w:spacing w:val="-2"/>
          <w:kern w:val="0"/>
          <w:sz w:val="24"/>
          <w:szCs w:val="24"/>
        </w:rPr>
        <w:t>指标</w:t>
      </w:r>
      <w:r>
        <w:rPr>
          <w:rFonts w:hint="eastAsia" w:asciiTheme="minorEastAsia" w:hAnsiTheme="minorEastAsia" w:cstheme="minorEastAsia"/>
          <w:spacing w:val="-5"/>
          <w:kern w:val="0"/>
          <w:sz w:val="24"/>
          <w:szCs w:val="24"/>
        </w:rPr>
        <w:t>要</w:t>
      </w:r>
      <w:r>
        <w:rPr>
          <w:rFonts w:hint="eastAsia" w:asciiTheme="minorEastAsia" w:hAnsiTheme="minorEastAsia" w:cstheme="minorEastAsia"/>
          <w:spacing w:val="-2"/>
          <w:kern w:val="0"/>
          <w:sz w:val="24"/>
          <w:szCs w:val="24"/>
        </w:rPr>
        <w:t>求</w:t>
      </w:r>
      <w:r>
        <w:rPr>
          <w:rFonts w:hint="eastAsia" w:asciiTheme="minorEastAsia" w:hAnsiTheme="minorEastAsia" w:cstheme="minorEastAsia"/>
          <w:spacing w:val="-5"/>
          <w:kern w:val="0"/>
          <w:sz w:val="24"/>
          <w:szCs w:val="24"/>
        </w:rPr>
        <w:t>，</w:t>
      </w:r>
      <w:r>
        <w:rPr>
          <w:rFonts w:hint="eastAsia" w:asciiTheme="minorEastAsia" w:hAnsiTheme="minorEastAsia" w:cstheme="minorEastAsia"/>
          <w:spacing w:val="-2"/>
          <w:kern w:val="0"/>
          <w:sz w:val="24"/>
          <w:szCs w:val="24"/>
        </w:rPr>
        <w:t>进</w:t>
      </w:r>
      <w:r>
        <w:rPr>
          <w:rFonts w:hint="eastAsia" w:asciiTheme="minorEastAsia" w:hAnsiTheme="minorEastAsia" w:cstheme="minorEastAsia"/>
          <w:spacing w:val="-5"/>
          <w:kern w:val="0"/>
          <w:sz w:val="24"/>
          <w:szCs w:val="24"/>
        </w:rPr>
        <w:t>行</w:t>
      </w:r>
      <w:r>
        <w:rPr>
          <w:rFonts w:hint="eastAsia" w:asciiTheme="minorEastAsia" w:hAnsiTheme="minorEastAsia" w:cstheme="minorEastAsia"/>
          <w:spacing w:val="-2"/>
          <w:kern w:val="0"/>
          <w:sz w:val="24"/>
          <w:szCs w:val="24"/>
        </w:rPr>
        <w:t>了</w:t>
      </w:r>
      <w:r>
        <w:rPr>
          <w:rFonts w:hint="eastAsia" w:asciiTheme="minorEastAsia" w:hAnsiTheme="minorEastAsia" w:cstheme="minorEastAsia"/>
          <w:kern w:val="0"/>
          <w:sz w:val="24"/>
          <w:szCs w:val="24"/>
        </w:rPr>
        <w:t>广泛的问</w:t>
      </w:r>
      <w:r>
        <w:rPr>
          <w:rFonts w:hint="eastAsia" w:asciiTheme="minorEastAsia" w:hAnsiTheme="minorEastAsia" w:cstheme="minorEastAsia"/>
          <w:spacing w:val="2"/>
          <w:kern w:val="0"/>
          <w:sz w:val="24"/>
          <w:szCs w:val="24"/>
        </w:rPr>
        <w:t>卷</w:t>
      </w:r>
      <w:r>
        <w:rPr>
          <w:rFonts w:hint="eastAsia" w:asciiTheme="minorEastAsia" w:hAnsiTheme="minorEastAsia" w:cstheme="minorEastAsia"/>
          <w:kern w:val="0"/>
          <w:sz w:val="24"/>
          <w:szCs w:val="24"/>
        </w:rPr>
        <w:t>调查和</w:t>
      </w:r>
      <w:r>
        <w:rPr>
          <w:rFonts w:hint="eastAsia" w:asciiTheme="minorEastAsia" w:hAnsiTheme="minorEastAsia" w:cstheme="minorEastAsia"/>
          <w:spacing w:val="2"/>
          <w:kern w:val="0"/>
          <w:sz w:val="24"/>
          <w:szCs w:val="24"/>
        </w:rPr>
        <w:t>定向</w:t>
      </w:r>
      <w:r>
        <w:rPr>
          <w:rFonts w:hint="eastAsia" w:asciiTheme="minorEastAsia" w:hAnsiTheme="minorEastAsia" w:cstheme="minorEastAsia"/>
          <w:kern w:val="0"/>
          <w:sz w:val="24"/>
          <w:szCs w:val="24"/>
        </w:rPr>
        <w:t>调研。在此</w:t>
      </w:r>
      <w:r>
        <w:rPr>
          <w:rFonts w:hint="eastAsia" w:asciiTheme="minorEastAsia" w:hAnsiTheme="minorEastAsia" w:cstheme="minorEastAsia"/>
          <w:spacing w:val="2"/>
          <w:kern w:val="0"/>
          <w:sz w:val="24"/>
          <w:szCs w:val="24"/>
        </w:rPr>
        <w:t>基</w:t>
      </w:r>
      <w:r>
        <w:rPr>
          <w:rFonts w:hint="eastAsia" w:asciiTheme="minorEastAsia" w:hAnsiTheme="minorEastAsia" w:cstheme="minorEastAsia"/>
          <w:kern w:val="0"/>
          <w:sz w:val="24"/>
          <w:szCs w:val="24"/>
        </w:rPr>
        <w:t>础上整</w:t>
      </w:r>
      <w:r>
        <w:rPr>
          <w:rFonts w:hint="eastAsia" w:asciiTheme="minorEastAsia" w:hAnsiTheme="minorEastAsia" w:cstheme="minorEastAsia"/>
          <w:spacing w:val="2"/>
          <w:kern w:val="0"/>
          <w:sz w:val="24"/>
          <w:szCs w:val="24"/>
        </w:rPr>
        <w:t>理</w:t>
      </w:r>
      <w:r>
        <w:rPr>
          <w:rFonts w:hint="eastAsia" w:asciiTheme="minorEastAsia" w:hAnsiTheme="minorEastAsia" w:cstheme="minorEastAsia"/>
          <w:kern w:val="0"/>
          <w:sz w:val="24"/>
          <w:szCs w:val="24"/>
        </w:rPr>
        <w:t>出来了《磷酸一铵、磷酸二铵行业</w:t>
      </w:r>
      <w:r>
        <w:rPr>
          <w:rFonts w:hint="eastAsia" w:asciiTheme="minorEastAsia" w:hAnsiTheme="minorEastAsia" w:cstheme="minorEastAsia"/>
          <w:spacing w:val="2"/>
          <w:kern w:val="0"/>
          <w:sz w:val="24"/>
          <w:szCs w:val="24"/>
        </w:rPr>
        <w:t>绿</w:t>
      </w:r>
      <w:r>
        <w:rPr>
          <w:rFonts w:hint="eastAsia" w:asciiTheme="minorEastAsia" w:hAnsiTheme="minorEastAsia" w:cstheme="minorEastAsia"/>
          <w:kern w:val="0"/>
          <w:sz w:val="24"/>
          <w:szCs w:val="24"/>
        </w:rPr>
        <w:t>色工厂评价要求》的数据，又参</w:t>
      </w:r>
      <w:r>
        <w:rPr>
          <w:rFonts w:hint="eastAsia" w:asciiTheme="minorEastAsia" w:hAnsiTheme="minorEastAsia" w:cstheme="minorEastAsia"/>
          <w:spacing w:val="-2"/>
          <w:kern w:val="0"/>
          <w:sz w:val="24"/>
          <w:szCs w:val="24"/>
        </w:rPr>
        <w:t>考</w:t>
      </w:r>
      <w:r>
        <w:rPr>
          <w:rFonts w:hint="eastAsia" w:asciiTheme="minorEastAsia" w:hAnsiTheme="minorEastAsia" w:cstheme="minorEastAsia"/>
          <w:kern w:val="0"/>
          <w:sz w:val="24"/>
          <w:szCs w:val="24"/>
        </w:rPr>
        <w:t>了</w:t>
      </w:r>
      <w:r>
        <w:rPr>
          <w:rFonts w:hint="eastAsia" w:asciiTheme="minorEastAsia" w:hAnsiTheme="minorEastAsia" w:cstheme="minorEastAsia"/>
          <w:color w:val="000000"/>
          <w:kern w:val="0"/>
          <w:sz w:val="24"/>
          <w:szCs w:val="24"/>
        </w:rPr>
        <w:t xml:space="preserve"> GB 162</w:t>
      </w:r>
      <w:r>
        <w:rPr>
          <w:rFonts w:hint="eastAsia" w:asciiTheme="minorEastAsia" w:hAnsiTheme="minorEastAsia" w:cstheme="minorEastAsia"/>
          <w:kern w:val="0"/>
          <w:sz w:val="24"/>
          <w:szCs w:val="24"/>
        </w:rPr>
        <w:t>97、GB 29138、GB 29139等标准中的相关指标数据，力求全面客观反映行业的实际状况。全面、系统地了解磷酸一铵、磷酸二铵行业生产和管理的各个环节。</w:t>
      </w:r>
    </w:p>
    <w:p>
      <w:pPr>
        <w:adjustRightInd w:val="0"/>
        <w:snapToGrid w:val="0"/>
        <w:spacing w:before="120" w:beforeLines="50" w:after="120" w:afterLines="50" w:line="480" w:lineRule="exact"/>
        <w:jc w:val="left"/>
        <w:rPr>
          <w:rFonts w:ascii="Microsoft JhengHei" w:hAnsi="Times New Roman" w:eastAsia="Microsoft JhengHei" w:cs="Microsoft JhengHei"/>
          <w:kern w:val="0"/>
          <w:sz w:val="20"/>
          <w:szCs w:val="20"/>
        </w:rPr>
      </w:pPr>
      <w:r>
        <w:rPr>
          <w:rFonts w:hint="eastAsia" w:asciiTheme="minorEastAsia" w:hAnsiTheme="minorEastAsia" w:cstheme="minorEastAsia"/>
          <w:b/>
          <w:bCs/>
          <w:sz w:val="24"/>
          <w:szCs w:val="24"/>
        </w:rPr>
        <w:t>10</w:t>
      </w:r>
      <w:r>
        <w:rPr>
          <w:rFonts w:asciiTheme="minorEastAsia" w:hAnsiTheme="minorEastAsia" w:cstheme="minorEastAsia"/>
          <w:b/>
          <w:bCs/>
          <w:sz w:val="24"/>
          <w:szCs w:val="24"/>
        </w:rPr>
        <w:t xml:space="preserve">  评价</w:t>
      </w:r>
    </w:p>
    <w:p>
      <w:pPr>
        <w:adjustRightInd w:val="0"/>
        <w:snapToGrid w:val="0"/>
        <w:spacing w:before="120" w:beforeLines="50" w:after="120" w:afterLines="50" w:line="480" w:lineRule="exact"/>
        <w:jc w:val="left"/>
        <w:rPr>
          <w:rFonts w:ascii="Microsoft JhengHei" w:hAnsi="Times New Roman" w:eastAsia="Microsoft JhengHei" w:cs="Microsoft JhengHei"/>
          <w:kern w:val="0"/>
          <w:sz w:val="28"/>
          <w:szCs w:val="28"/>
        </w:rPr>
      </w:pPr>
      <w:r>
        <w:rPr>
          <w:rFonts w:hint="eastAsia" w:asciiTheme="minorEastAsia" w:hAnsiTheme="minorEastAsia" w:cstheme="minorEastAsia"/>
          <w:b/>
          <w:bCs/>
          <w:sz w:val="24"/>
          <w:szCs w:val="24"/>
        </w:rPr>
        <w:t>10.1 评价程序</w:t>
      </w:r>
    </w:p>
    <w:p>
      <w:pPr>
        <w:autoSpaceDE w:val="0"/>
        <w:autoSpaceDN w:val="0"/>
        <w:adjustRightInd w:val="0"/>
        <w:ind w:left="539"/>
        <w:jc w:val="left"/>
        <w:rPr>
          <w:rFonts w:ascii="微软雅黑" w:hAnsi="Times New Roman" w:eastAsia="微软雅黑" w:cs="微软雅黑"/>
          <w:kern w:val="0"/>
          <w:szCs w:val="21"/>
        </w:rPr>
        <w:sectPr>
          <w:footerReference r:id="rId4" w:type="default"/>
          <w:pgSz w:w="11920" w:h="16840"/>
          <w:pgMar w:top="1320" w:right="1200" w:bottom="280" w:left="1300" w:header="0" w:footer="757" w:gutter="0"/>
          <w:pgNumType w:fmt="decimal" w:start="1"/>
          <w:cols w:space="720" w:num="1"/>
        </w:sectPr>
      </w:pPr>
      <w:r>
        <w:rPr>
          <w:rFonts w:hint="eastAsia" w:asciiTheme="minorEastAsia" w:hAnsiTheme="minorEastAsia" w:cstheme="minorEastAsia"/>
          <w:kern w:val="0"/>
          <w:sz w:val="24"/>
          <w:szCs w:val="24"/>
        </w:rPr>
        <w:t>绿色工厂评价程序包括企业自评价和第三方评价，绿色工厂评价程序下图所示。</w:t>
      </w:r>
      <w:r>
        <w:drawing>
          <wp:inline distT="0" distB="0" distL="114300" distR="114300">
            <wp:extent cx="4968875" cy="6294120"/>
            <wp:effectExtent l="0" t="0" r="3175" b="1143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9"/>
                    <a:stretch>
                      <a:fillRect/>
                    </a:stretch>
                  </pic:blipFill>
                  <pic:spPr>
                    <a:xfrm>
                      <a:off x="0" y="0"/>
                      <a:ext cx="4968875" cy="6294120"/>
                    </a:xfrm>
                    <a:prstGeom prst="rect">
                      <a:avLst/>
                    </a:prstGeom>
                    <a:noFill/>
                    <a:ln>
                      <a:noFill/>
                    </a:ln>
                  </pic:spPr>
                </pic:pic>
              </a:graphicData>
            </a:graphic>
          </wp:inline>
        </w:drawing>
      </w:r>
    </w:p>
    <w:p>
      <w:pPr>
        <w:adjustRightInd w:val="0"/>
        <w:snapToGrid w:val="0"/>
        <w:spacing w:before="120" w:beforeLines="50" w:after="120" w:afterLines="50" w:line="480" w:lineRule="exact"/>
        <w:jc w:val="left"/>
        <w:rPr>
          <w:rFonts w:asciiTheme="minorEastAsia" w:hAnsiTheme="minorEastAsia" w:cstheme="minorEastAsia"/>
          <w:b/>
          <w:bCs/>
          <w:sz w:val="24"/>
          <w:szCs w:val="24"/>
        </w:rPr>
      </w:pPr>
      <w:r>
        <w:rPr>
          <w:rFonts w:hint="eastAsia" w:asciiTheme="minorEastAsia" w:hAnsiTheme="minorEastAsia" w:cstheme="minorEastAsia"/>
          <w:b/>
          <w:bCs/>
          <w:sz w:val="24"/>
          <w:szCs w:val="24"/>
        </w:rPr>
        <w:t>10.2 评价报告</w:t>
      </w:r>
    </w:p>
    <w:p>
      <w:pPr>
        <w:adjustRightInd w:val="0"/>
        <w:snapToGrid w:val="0"/>
        <w:spacing w:before="120" w:beforeLines="50" w:after="120" w:afterLines="50" w:line="480" w:lineRule="exact"/>
        <w:jc w:val="left"/>
        <w:rPr>
          <w:rFonts w:ascii="Microsoft JhengHei" w:hAnsi="Times New Roman" w:eastAsia="Microsoft JhengHei" w:cs="Microsoft JhengHei"/>
          <w:kern w:val="0"/>
          <w:sz w:val="28"/>
          <w:szCs w:val="28"/>
        </w:rPr>
      </w:pPr>
      <w:r>
        <w:rPr>
          <w:rFonts w:hint="eastAsia" w:asciiTheme="minorEastAsia" w:hAnsiTheme="minorEastAsia" w:cstheme="minorEastAsia"/>
          <w:b/>
          <w:bCs/>
          <w:sz w:val="24"/>
          <w:szCs w:val="24"/>
        </w:rPr>
        <w:t>10.2.1  绿色工厂自评价报告</w:t>
      </w:r>
    </w:p>
    <w:p>
      <w:pPr>
        <w:autoSpaceDE w:val="0"/>
        <w:autoSpaceDN w:val="0"/>
        <w:adjustRightInd w:val="0"/>
        <w:spacing w:line="480" w:lineRule="exact"/>
        <w:ind w:left="119" w:right="153" w:firstLine="413"/>
        <w:jc w:val="left"/>
        <w:rPr>
          <w:rFonts w:asciiTheme="minorEastAsia" w:hAnsiTheme="minorEastAsia" w:cstheme="minorEastAsia"/>
          <w:spacing w:val="-5"/>
          <w:kern w:val="0"/>
          <w:sz w:val="24"/>
          <w:szCs w:val="24"/>
        </w:rPr>
      </w:pPr>
      <w:r>
        <w:rPr>
          <w:rFonts w:hint="eastAsia" w:asciiTheme="minorEastAsia" w:hAnsiTheme="minorEastAsia" w:cstheme="minorEastAsia"/>
          <w:spacing w:val="-5"/>
          <w:kern w:val="0"/>
          <w:sz w:val="24"/>
          <w:szCs w:val="24"/>
        </w:rPr>
        <w:t>《磷酸一铵、磷酸二铵行业绿色工厂自评报告》内容包括但不限于：</w:t>
      </w:r>
    </w:p>
    <w:p>
      <w:pPr>
        <w:autoSpaceDE w:val="0"/>
        <w:autoSpaceDN w:val="0"/>
        <w:adjustRightInd w:val="0"/>
        <w:spacing w:line="480" w:lineRule="exact"/>
        <w:ind w:left="119" w:right="153" w:firstLine="413"/>
        <w:jc w:val="left"/>
        <w:rPr>
          <w:rFonts w:asciiTheme="minorEastAsia" w:hAnsiTheme="minorEastAsia" w:cstheme="minorEastAsia"/>
          <w:spacing w:val="-5"/>
          <w:kern w:val="0"/>
          <w:sz w:val="24"/>
          <w:szCs w:val="24"/>
        </w:rPr>
      </w:pPr>
      <w:r>
        <w:rPr>
          <w:rFonts w:hint="eastAsia" w:asciiTheme="minorEastAsia" w:hAnsiTheme="minorEastAsia" w:cstheme="minorEastAsia"/>
          <w:spacing w:val="-5"/>
          <w:kern w:val="0"/>
          <w:sz w:val="24"/>
          <w:szCs w:val="24"/>
        </w:rPr>
        <w:t>a) 工厂名称、地址、行业、法定代表人、简介等基本信息，发展现状、工业产业和生产经营情况；</w:t>
      </w:r>
    </w:p>
    <w:p>
      <w:pPr>
        <w:autoSpaceDE w:val="0"/>
        <w:autoSpaceDN w:val="0"/>
        <w:adjustRightInd w:val="0"/>
        <w:spacing w:line="480" w:lineRule="exact"/>
        <w:ind w:left="119" w:right="153" w:firstLine="413"/>
        <w:jc w:val="left"/>
        <w:rPr>
          <w:rFonts w:asciiTheme="minorEastAsia" w:hAnsiTheme="minorEastAsia" w:cstheme="minorEastAsia"/>
          <w:spacing w:val="-5"/>
          <w:kern w:val="0"/>
          <w:sz w:val="24"/>
          <w:szCs w:val="24"/>
        </w:rPr>
      </w:pPr>
      <w:r>
        <w:rPr>
          <w:rFonts w:hint="eastAsia" w:asciiTheme="minorEastAsia" w:hAnsiTheme="minorEastAsia" w:cstheme="minorEastAsia"/>
          <w:spacing w:val="-5"/>
          <w:kern w:val="0"/>
          <w:sz w:val="24"/>
          <w:szCs w:val="24"/>
        </w:rPr>
        <w:t>b) 工厂在绿色发展方面开展的重点工作及取得成绩，下一步拟开展重点工作等；</w:t>
      </w:r>
    </w:p>
    <w:p>
      <w:pPr>
        <w:autoSpaceDE w:val="0"/>
        <w:autoSpaceDN w:val="0"/>
        <w:adjustRightInd w:val="0"/>
        <w:spacing w:line="480" w:lineRule="exact"/>
        <w:ind w:left="119" w:right="153" w:firstLine="413"/>
        <w:jc w:val="left"/>
        <w:rPr>
          <w:rFonts w:asciiTheme="minorEastAsia" w:hAnsiTheme="minorEastAsia" w:cstheme="minorEastAsia"/>
          <w:spacing w:val="-5"/>
          <w:kern w:val="0"/>
          <w:sz w:val="24"/>
          <w:szCs w:val="24"/>
        </w:rPr>
      </w:pPr>
      <w:r>
        <w:rPr>
          <w:rFonts w:hint="eastAsia" w:asciiTheme="minorEastAsia" w:hAnsiTheme="minorEastAsia" w:cstheme="minorEastAsia"/>
          <w:spacing w:val="-5"/>
          <w:kern w:val="0"/>
          <w:sz w:val="24"/>
          <w:szCs w:val="24"/>
        </w:rPr>
        <w:t>c) 工厂的建筑、装置规模、工艺路线、主要耗能设备、计量设备、照明配置情况，以及相关标准执行情况；</w:t>
      </w:r>
    </w:p>
    <w:p>
      <w:pPr>
        <w:autoSpaceDE w:val="0"/>
        <w:autoSpaceDN w:val="0"/>
        <w:adjustRightInd w:val="0"/>
        <w:spacing w:line="480" w:lineRule="exact"/>
        <w:ind w:left="119" w:right="153" w:firstLine="413"/>
        <w:jc w:val="left"/>
        <w:rPr>
          <w:rFonts w:asciiTheme="minorEastAsia" w:hAnsiTheme="minorEastAsia" w:cstheme="minorEastAsia"/>
          <w:spacing w:val="-5"/>
          <w:kern w:val="0"/>
          <w:sz w:val="24"/>
          <w:szCs w:val="24"/>
        </w:rPr>
      </w:pPr>
      <w:r>
        <w:rPr>
          <w:rFonts w:hint="eastAsia" w:asciiTheme="minorEastAsia" w:hAnsiTheme="minorEastAsia" w:cstheme="minorEastAsia"/>
          <w:spacing w:val="-5"/>
          <w:kern w:val="0"/>
          <w:sz w:val="24"/>
          <w:szCs w:val="24"/>
        </w:rPr>
        <w:t>d) 工厂各项管理体系建设情况；</w:t>
      </w:r>
    </w:p>
    <w:p>
      <w:pPr>
        <w:autoSpaceDE w:val="0"/>
        <w:autoSpaceDN w:val="0"/>
        <w:adjustRightInd w:val="0"/>
        <w:spacing w:line="480" w:lineRule="exact"/>
        <w:ind w:left="119" w:right="153" w:firstLine="413"/>
        <w:jc w:val="left"/>
        <w:rPr>
          <w:rFonts w:asciiTheme="minorEastAsia" w:hAnsiTheme="minorEastAsia" w:cstheme="minorEastAsia"/>
          <w:spacing w:val="-5"/>
          <w:kern w:val="0"/>
          <w:sz w:val="24"/>
          <w:szCs w:val="24"/>
        </w:rPr>
      </w:pPr>
      <w:r>
        <w:rPr>
          <w:rFonts w:hint="eastAsia" w:asciiTheme="minorEastAsia" w:hAnsiTheme="minorEastAsia" w:cstheme="minorEastAsia"/>
          <w:spacing w:val="-5"/>
          <w:kern w:val="0"/>
          <w:sz w:val="24"/>
          <w:szCs w:val="24"/>
        </w:rPr>
        <w:t>e) 工厂能源投入、资源投入、采购等方面的现状，以及目前正实施的节约能源资源项目；</w:t>
      </w:r>
    </w:p>
    <w:p>
      <w:pPr>
        <w:autoSpaceDE w:val="0"/>
        <w:autoSpaceDN w:val="0"/>
        <w:adjustRightInd w:val="0"/>
        <w:spacing w:line="480" w:lineRule="exact"/>
        <w:ind w:left="119" w:right="153" w:firstLine="413"/>
        <w:jc w:val="left"/>
        <w:rPr>
          <w:rFonts w:asciiTheme="minorEastAsia" w:hAnsiTheme="minorEastAsia" w:cstheme="minorEastAsia"/>
          <w:spacing w:val="-5"/>
          <w:kern w:val="0"/>
          <w:sz w:val="24"/>
          <w:szCs w:val="24"/>
        </w:rPr>
      </w:pPr>
      <w:r>
        <w:rPr>
          <w:rFonts w:hint="eastAsia" w:asciiTheme="minorEastAsia" w:hAnsiTheme="minorEastAsia" w:cstheme="minorEastAsia"/>
          <w:spacing w:val="-5"/>
          <w:kern w:val="0"/>
          <w:sz w:val="24"/>
          <w:szCs w:val="24"/>
        </w:rPr>
        <w:t>f) 工厂生产时的设计、能效、有害物质限制使用等情况；</w:t>
      </w:r>
    </w:p>
    <w:p>
      <w:pPr>
        <w:autoSpaceDE w:val="0"/>
        <w:autoSpaceDN w:val="0"/>
        <w:adjustRightInd w:val="0"/>
        <w:spacing w:line="480" w:lineRule="exact"/>
        <w:ind w:left="119" w:right="153" w:firstLine="413"/>
        <w:jc w:val="left"/>
        <w:rPr>
          <w:rFonts w:asciiTheme="minorEastAsia" w:hAnsiTheme="minorEastAsia" w:cstheme="minorEastAsia"/>
          <w:spacing w:val="-5"/>
          <w:kern w:val="0"/>
          <w:sz w:val="24"/>
          <w:szCs w:val="24"/>
        </w:rPr>
      </w:pPr>
      <w:r>
        <w:rPr>
          <w:rFonts w:hint="eastAsia" w:asciiTheme="minorEastAsia" w:hAnsiTheme="minorEastAsia" w:cstheme="minorEastAsia"/>
          <w:spacing w:val="-5"/>
          <w:kern w:val="0"/>
          <w:sz w:val="24"/>
          <w:szCs w:val="24"/>
        </w:rPr>
        <w:t>g) 工厂主要污染物处理设备配置及运行情况，大气污染物、水体污染物、固体废物、噪声、温室气体的排放及管理等现状；</w:t>
      </w:r>
    </w:p>
    <w:p>
      <w:pPr>
        <w:autoSpaceDE w:val="0"/>
        <w:autoSpaceDN w:val="0"/>
        <w:adjustRightInd w:val="0"/>
        <w:spacing w:line="480" w:lineRule="exact"/>
        <w:ind w:left="119" w:right="153" w:firstLine="413"/>
        <w:jc w:val="left"/>
        <w:rPr>
          <w:rFonts w:asciiTheme="minorEastAsia" w:hAnsiTheme="minorEastAsia" w:cstheme="minorEastAsia"/>
          <w:spacing w:val="-5"/>
          <w:kern w:val="0"/>
          <w:sz w:val="24"/>
          <w:szCs w:val="24"/>
        </w:rPr>
      </w:pPr>
      <w:r>
        <w:rPr>
          <w:rFonts w:hint="eastAsia" w:asciiTheme="minorEastAsia" w:hAnsiTheme="minorEastAsia" w:cstheme="minorEastAsia"/>
          <w:spacing w:val="-5"/>
          <w:kern w:val="0"/>
          <w:sz w:val="24"/>
          <w:szCs w:val="24"/>
        </w:rPr>
        <w:t>h) 依据工厂情况和本标准，开展绿色工厂自评价；</w:t>
      </w:r>
    </w:p>
    <w:p>
      <w:pPr>
        <w:autoSpaceDE w:val="0"/>
        <w:autoSpaceDN w:val="0"/>
        <w:adjustRightInd w:val="0"/>
        <w:spacing w:line="480" w:lineRule="exact"/>
        <w:ind w:left="119" w:right="153" w:firstLine="413"/>
        <w:jc w:val="left"/>
        <w:rPr>
          <w:rFonts w:asciiTheme="minorEastAsia" w:hAnsiTheme="minorEastAsia" w:cstheme="minorEastAsia"/>
          <w:spacing w:val="-5"/>
          <w:kern w:val="0"/>
          <w:sz w:val="24"/>
          <w:szCs w:val="24"/>
        </w:rPr>
      </w:pPr>
      <w:r>
        <w:rPr>
          <w:rFonts w:hint="eastAsia" w:asciiTheme="minorEastAsia" w:hAnsiTheme="minorEastAsia" w:cstheme="minorEastAsia"/>
          <w:spacing w:val="-5"/>
          <w:kern w:val="0"/>
          <w:sz w:val="24"/>
          <w:szCs w:val="24"/>
        </w:rPr>
        <w:t>i) 其他支持证明材料。</w:t>
      </w:r>
    </w:p>
    <w:p>
      <w:pPr>
        <w:adjustRightInd w:val="0"/>
        <w:snapToGrid w:val="0"/>
        <w:spacing w:before="120" w:beforeLines="50" w:after="120" w:afterLines="50" w:line="480" w:lineRule="exact"/>
        <w:jc w:val="left"/>
        <w:rPr>
          <w:rFonts w:ascii="Microsoft JhengHei" w:hAnsi="Times New Roman" w:eastAsia="Microsoft JhengHei" w:cs="Microsoft JhengHei"/>
          <w:kern w:val="0"/>
          <w:sz w:val="28"/>
          <w:szCs w:val="28"/>
        </w:rPr>
      </w:pPr>
      <w:r>
        <w:rPr>
          <w:rFonts w:hint="eastAsia" w:asciiTheme="minorEastAsia" w:hAnsiTheme="minorEastAsia" w:cstheme="minorEastAsia"/>
          <w:b/>
          <w:bCs/>
          <w:sz w:val="24"/>
          <w:szCs w:val="24"/>
        </w:rPr>
        <w:t>10.2.2  第三方评价报告</w:t>
      </w:r>
    </w:p>
    <w:p>
      <w:pPr>
        <w:autoSpaceDE w:val="0"/>
        <w:autoSpaceDN w:val="0"/>
        <w:adjustRightInd w:val="0"/>
        <w:spacing w:line="480" w:lineRule="exact"/>
        <w:ind w:left="119" w:right="153" w:firstLine="413"/>
        <w:jc w:val="left"/>
        <w:rPr>
          <w:rFonts w:asciiTheme="minorEastAsia" w:hAnsiTheme="minorEastAsia" w:cstheme="minorEastAsia"/>
          <w:spacing w:val="-5"/>
          <w:kern w:val="0"/>
          <w:sz w:val="24"/>
          <w:szCs w:val="24"/>
        </w:rPr>
      </w:pPr>
      <w:r>
        <w:rPr>
          <w:rFonts w:hint="eastAsia" w:asciiTheme="minorEastAsia" w:hAnsiTheme="minorEastAsia" w:cstheme="minorEastAsia"/>
          <w:spacing w:val="-5"/>
          <w:kern w:val="0"/>
          <w:sz w:val="24"/>
          <w:szCs w:val="24"/>
        </w:rPr>
        <w:t>《磷酸一铵、磷酸二铵行业绿色工厂第三方评价报告》内容包括但不限于：</w:t>
      </w:r>
    </w:p>
    <w:p>
      <w:pPr>
        <w:autoSpaceDE w:val="0"/>
        <w:autoSpaceDN w:val="0"/>
        <w:adjustRightInd w:val="0"/>
        <w:spacing w:line="480" w:lineRule="exact"/>
        <w:ind w:left="119" w:right="153" w:firstLine="413"/>
        <w:jc w:val="left"/>
        <w:rPr>
          <w:rFonts w:asciiTheme="minorEastAsia" w:hAnsiTheme="minorEastAsia" w:cstheme="minorEastAsia"/>
          <w:spacing w:val="-5"/>
          <w:kern w:val="0"/>
          <w:sz w:val="24"/>
          <w:szCs w:val="24"/>
        </w:rPr>
      </w:pPr>
      <w:r>
        <w:rPr>
          <w:rFonts w:hint="eastAsia" w:asciiTheme="minorEastAsia" w:hAnsiTheme="minorEastAsia" w:cstheme="minorEastAsia"/>
          <w:spacing w:val="-5"/>
          <w:kern w:val="0"/>
          <w:sz w:val="24"/>
          <w:szCs w:val="24"/>
        </w:rPr>
        <w:t>a) 绿色工厂评价的目的、范围及准则；</w:t>
      </w:r>
    </w:p>
    <w:p>
      <w:pPr>
        <w:autoSpaceDE w:val="0"/>
        <w:autoSpaceDN w:val="0"/>
        <w:adjustRightInd w:val="0"/>
        <w:spacing w:line="480" w:lineRule="exact"/>
        <w:ind w:left="119" w:right="153" w:firstLine="413"/>
        <w:jc w:val="left"/>
        <w:rPr>
          <w:rFonts w:asciiTheme="minorEastAsia" w:hAnsiTheme="minorEastAsia" w:cstheme="minorEastAsia"/>
          <w:spacing w:val="-5"/>
          <w:kern w:val="0"/>
          <w:sz w:val="24"/>
          <w:szCs w:val="24"/>
        </w:rPr>
      </w:pPr>
      <w:r>
        <w:rPr>
          <w:rFonts w:hint="eastAsia" w:asciiTheme="minorEastAsia" w:hAnsiTheme="minorEastAsia" w:cstheme="minorEastAsia"/>
          <w:spacing w:val="-5"/>
          <w:kern w:val="0"/>
          <w:sz w:val="24"/>
          <w:szCs w:val="24"/>
        </w:rPr>
        <w:t>b) 绿色工厂评价过程，主要包括评价组织安排、文件评审情况、现场评估情况、核查报告编写及内部技术复核情况；</w:t>
      </w:r>
    </w:p>
    <w:p>
      <w:pPr>
        <w:autoSpaceDE w:val="0"/>
        <w:autoSpaceDN w:val="0"/>
        <w:adjustRightInd w:val="0"/>
        <w:spacing w:line="480" w:lineRule="exact"/>
        <w:ind w:left="119" w:right="153" w:firstLine="413"/>
        <w:jc w:val="left"/>
        <w:rPr>
          <w:rFonts w:asciiTheme="minorEastAsia" w:hAnsiTheme="minorEastAsia" w:cstheme="minorEastAsia"/>
          <w:spacing w:val="-5"/>
          <w:kern w:val="0"/>
          <w:sz w:val="24"/>
          <w:szCs w:val="24"/>
        </w:rPr>
      </w:pPr>
      <w:r>
        <w:rPr>
          <w:rFonts w:hint="eastAsia" w:asciiTheme="minorEastAsia" w:hAnsiTheme="minorEastAsia" w:cstheme="minorEastAsia"/>
          <w:spacing w:val="-5"/>
          <w:kern w:val="0"/>
          <w:sz w:val="24"/>
          <w:szCs w:val="24"/>
        </w:rPr>
        <w:t>c) 对申报工厂的基础设施、管理体系、能源与资源投入、产品、环境排放、绩效等方面进行描述，并对工厂自评报告中的相关内容进行核实；</w:t>
      </w:r>
    </w:p>
    <w:p>
      <w:pPr>
        <w:autoSpaceDE w:val="0"/>
        <w:autoSpaceDN w:val="0"/>
        <w:adjustRightInd w:val="0"/>
        <w:spacing w:line="480" w:lineRule="exact"/>
        <w:ind w:left="119" w:right="153" w:firstLine="413"/>
        <w:jc w:val="left"/>
        <w:rPr>
          <w:rFonts w:asciiTheme="minorEastAsia" w:hAnsiTheme="minorEastAsia" w:cstheme="minorEastAsia"/>
          <w:spacing w:val="-5"/>
          <w:kern w:val="0"/>
          <w:sz w:val="24"/>
          <w:szCs w:val="24"/>
        </w:rPr>
      </w:pPr>
      <w:r>
        <w:rPr>
          <w:rFonts w:hint="eastAsia" w:asciiTheme="minorEastAsia" w:hAnsiTheme="minorEastAsia" w:cstheme="minorEastAsia"/>
          <w:spacing w:val="-5"/>
          <w:kern w:val="0"/>
          <w:sz w:val="24"/>
          <w:szCs w:val="24"/>
        </w:rPr>
        <w:t>d) 核实数据真实性、计算范围及计算方法，检查相关计量设备和有关标准的执行等情况；</w:t>
      </w:r>
    </w:p>
    <w:p>
      <w:pPr>
        <w:autoSpaceDE w:val="0"/>
        <w:autoSpaceDN w:val="0"/>
        <w:adjustRightInd w:val="0"/>
        <w:spacing w:line="480" w:lineRule="exact"/>
        <w:ind w:left="119" w:right="153" w:firstLine="413"/>
        <w:jc w:val="left"/>
        <w:rPr>
          <w:rFonts w:asciiTheme="minorEastAsia" w:hAnsiTheme="minorEastAsia" w:cstheme="minorEastAsia"/>
          <w:spacing w:val="-5"/>
          <w:kern w:val="0"/>
          <w:sz w:val="24"/>
          <w:szCs w:val="24"/>
        </w:rPr>
      </w:pPr>
      <w:r>
        <w:rPr>
          <w:rFonts w:hint="eastAsia" w:asciiTheme="minorEastAsia" w:hAnsiTheme="minorEastAsia" w:cstheme="minorEastAsia"/>
          <w:spacing w:val="-5"/>
          <w:kern w:val="0"/>
          <w:sz w:val="24"/>
          <w:szCs w:val="24"/>
        </w:rPr>
        <w:t>e) 对企业自评所出现的问题情况进行描述；</w:t>
      </w:r>
    </w:p>
    <w:p>
      <w:pPr>
        <w:autoSpaceDE w:val="0"/>
        <w:autoSpaceDN w:val="0"/>
        <w:adjustRightInd w:val="0"/>
        <w:spacing w:line="480" w:lineRule="exact"/>
        <w:ind w:left="119" w:right="153" w:firstLine="413"/>
        <w:jc w:val="left"/>
        <w:rPr>
          <w:rFonts w:asciiTheme="minorEastAsia" w:hAnsiTheme="minorEastAsia" w:cstheme="minorEastAsia"/>
          <w:spacing w:val="-5"/>
          <w:kern w:val="0"/>
          <w:sz w:val="24"/>
          <w:szCs w:val="24"/>
        </w:rPr>
      </w:pPr>
      <w:r>
        <w:rPr>
          <w:rFonts w:hint="eastAsia" w:asciiTheme="minorEastAsia" w:hAnsiTheme="minorEastAsia" w:cstheme="minorEastAsia"/>
          <w:spacing w:val="-5"/>
          <w:kern w:val="0"/>
          <w:sz w:val="24"/>
          <w:szCs w:val="24"/>
        </w:rPr>
        <w:t>f) 对申报工厂是否符合绿色工厂要求进行评价，说明各评价指标值及是否符合评价要求情况，描述主要创建做法及工作亮点等；</w:t>
      </w:r>
    </w:p>
    <w:p>
      <w:pPr>
        <w:autoSpaceDE w:val="0"/>
        <w:autoSpaceDN w:val="0"/>
        <w:adjustRightInd w:val="0"/>
        <w:spacing w:line="480" w:lineRule="exact"/>
        <w:ind w:left="119" w:right="153" w:firstLine="413"/>
        <w:jc w:val="left"/>
        <w:rPr>
          <w:rFonts w:asciiTheme="minorEastAsia" w:hAnsiTheme="minorEastAsia" w:cstheme="minorEastAsia"/>
          <w:spacing w:val="-5"/>
          <w:kern w:val="0"/>
          <w:sz w:val="24"/>
          <w:szCs w:val="24"/>
        </w:rPr>
      </w:pPr>
      <w:r>
        <w:rPr>
          <w:rFonts w:hint="eastAsia" w:asciiTheme="minorEastAsia" w:hAnsiTheme="minorEastAsia" w:cstheme="minorEastAsia"/>
          <w:spacing w:val="-5"/>
          <w:kern w:val="0"/>
          <w:sz w:val="24"/>
          <w:szCs w:val="24"/>
        </w:rPr>
        <w:t>g) 对持续创建绿色工厂的下一步工作提出建议；</w:t>
      </w:r>
    </w:p>
    <w:p>
      <w:pPr>
        <w:autoSpaceDE w:val="0"/>
        <w:autoSpaceDN w:val="0"/>
        <w:adjustRightInd w:val="0"/>
        <w:spacing w:line="480" w:lineRule="exact"/>
        <w:ind w:left="119" w:right="153" w:firstLine="413"/>
        <w:jc w:val="left"/>
        <w:rPr>
          <w:rFonts w:asciiTheme="minorEastAsia" w:hAnsiTheme="minorEastAsia" w:cstheme="minorEastAsia"/>
          <w:spacing w:val="-5"/>
          <w:kern w:val="0"/>
          <w:sz w:val="24"/>
          <w:szCs w:val="24"/>
        </w:rPr>
      </w:pPr>
      <w:r>
        <w:rPr>
          <w:rFonts w:hint="eastAsia" w:asciiTheme="minorEastAsia" w:hAnsiTheme="minorEastAsia" w:cstheme="minorEastAsia"/>
          <w:spacing w:val="-5"/>
          <w:kern w:val="0"/>
          <w:sz w:val="24"/>
          <w:szCs w:val="24"/>
        </w:rPr>
        <w:t>h)  评价支持材料。</w:t>
      </w:r>
    </w:p>
    <w:p>
      <w:pPr>
        <w:adjustRightInd w:val="0"/>
        <w:snapToGrid w:val="0"/>
        <w:spacing w:before="120" w:beforeLines="50" w:after="120" w:afterLines="50" w:line="480" w:lineRule="exact"/>
        <w:jc w:val="left"/>
        <w:rPr>
          <w:rFonts w:ascii="Microsoft JhengHei" w:hAnsi="Times New Roman" w:eastAsia="Microsoft JhengHei" w:cs="Microsoft JhengHei"/>
          <w:kern w:val="0"/>
          <w:sz w:val="28"/>
          <w:szCs w:val="28"/>
        </w:rPr>
      </w:pPr>
      <w:r>
        <w:rPr>
          <w:rFonts w:hint="eastAsia" w:asciiTheme="minorEastAsia" w:hAnsiTheme="minorEastAsia" w:cstheme="minorEastAsia"/>
          <w:b/>
          <w:bCs/>
          <w:sz w:val="24"/>
          <w:szCs w:val="24"/>
        </w:rPr>
        <w:t>11  标准实施的可行性分析</w:t>
      </w:r>
    </w:p>
    <w:p>
      <w:pPr>
        <w:keepNext w:val="0"/>
        <w:keepLines w:val="0"/>
        <w:pageBreakBefore w:val="0"/>
        <w:widowControl w:val="0"/>
        <w:kinsoku/>
        <w:wordWrap/>
        <w:overflowPunct/>
        <w:topLinePunct w:val="0"/>
        <w:autoSpaceDE/>
        <w:autoSpaceDN/>
        <w:bidi w:val="0"/>
        <w:adjustRightInd w:val="0"/>
        <w:snapToGrid w:val="0"/>
        <w:spacing w:line="480" w:lineRule="exact"/>
        <w:ind w:firstLine="460" w:firstLineChars="200"/>
        <w:jc w:val="left"/>
        <w:textAlignment w:val="auto"/>
        <w:rPr>
          <w:rFonts w:asciiTheme="minorEastAsia" w:hAnsiTheme="minorEastAsia" w:cstheme="minorEastAsia"/>
          <w:spacing w:val="-5"/>
          <w:kern w:val="0"/>
          <w:sz w:val="24"/>
          <w:szCs w:val="24"/>
        </w:rPr>
      </w:pPr>
      <w:r>
        <w:rPr>
          <w:rFonts w:hint="eastAsia" w:asciiTheme="minorEastAsia" w:hAnsiTheme="minorEastAsia" w:cstheme="minorEastAsia"/>
          <w:spacing w:val="-5"/>
          <w:kern w:val="0"/>
          <w:sz w:val="24"/>
          <w:szCs w:val="24"/>
        </w:rPr>
        <w:t>《磷酸一铵、磷酸二铵行业绿色工厂评价要求》将综合多家磷酸一铵、磷酸二铵生产企业的实际工厂生产情况，规定、指导磷酸一铵、磷酸二铵生产工厂基础设施、管理体系、能源与资源投入、产品、环境排放、绩效等方面各相关指标的要求，各项指标内容符合复合肥料生产工厂的实际情况，可获取、可评价。标准符合操作可行性。</w:t>
      </w:r>
    </w:p>
    <w:p>
      <w:pPr>
        <w:adjustRightInd w:val="0"/>
        <w:snapToGrid w:val="0"/>
        <w:spacing w:before="120" w:beforeLines="50" w:after="120" w:afterLines="50" w:line="480" w:lineRule="exact"/>
        <w:jc w:val="left"/>
        <w:rPr>
          <w:rFonts w:ascii="Microsoft JhengHei" w:hAnsi="Times New Roman" w:eastAsia="Microsoft JhengHei" w:cs="Microsoft JhengHei"/>
          <w:kern w:val="0"/>
          <w:sz w:val="28"/>
          <w:szCs w:val="28"/>
        </w:rPr>
      </w:pPr>
      <w:r>
        <w:rPr>
          <w:rFonts w:hint="eastAsia" w:asciiTheme="minorEastAsia" w:hAnsiTheme="minorEastAsia" w:cstheme="minorEastAsia"/>
          <w:b/>
          <w:bCs/>
          <w:sz w:val="24"/>
          <w:szCs w:val="24"/>
        </w:rPr>
        <w:t>12  与国家标准、行业标准等的协调性</w:t>
      </w:r>
    </w:p>
    <w:p>
      <w:pPr>
        <w:keepNext w:val="0"/>
        <w:keepLines w:val="0"/>
        <w:pageBreakBefore w:val="0"/>
        <w:widowControl w:val="0"/>
        <w:kinsoku/>
        <w:wordWrap/>
        <w:overflowPunct/>
        <w:topLinePunct w:val="0"/>
        <w:bidi w:val="0"/>
        <w:adjustRightInd w:val="0"/>
        <w:snapToGrid w:val="0"/>
        <w:spacing w:line="480" w:lineRule="exact"/>
        <w:ind w:firstLine="460" w:firstLineChars="200"/>
        <w:textAlignment w:val="auto"/>
        <w:rPr>
          <w:rFonts w:asciiTheme="minorEastAsia" w:hAnsiTheme="minorEastAsia" w:cstheme="minorEastAsia"/>
          <w:spacing w:val="-5"/>
          <w:kern w:val="0"/>
          <w:sz w:val="24"/>
          <w:szCs w:val="24"/>
        </w:rPr>
      </w:pPr>
      <w:r>
        <w:rPr>
          <w:rFonts w:hint="eastAsia" w:asciiTheme="minorEastAsia" w:hAnsiTheme="minorEastAsia" w:cstheme="minorEastAsia"/>
          <w:spacing w:val="-5"/>
          <w:kern w:val="0"/>
          <w:sz w:val="24"/>
          <w:szCs w:val="24"/>
        </w:rPr>
        <w:t>《磷酸一铵、磷酸二铵行业绿色工厂评价要求》目前没有国家标准和行业标准。与该标准相关的国家或行业标准有：GB 10205《复合肥料》；GB/T 6566《环境空气质量标准》；GB/T 7119《节水型企业评价原则》；GB/T 19001《质量管理体系要求》；GB/T 38400《肥料中有毒有害物质的限量要求》等，该标准部分内容参照了这些标准，同时按照GB/T 1.1、GB/T 36132给出的规则进行起草。</w:t>
      </w:r>
    </w:p>
    <w:p>
      <w:pPr>
        <w:keepNext w:val="0"/>
        <w:keepLines w:val="0"/>
        <w:pageBreakBefore w:val="0"/>
        <w:widowControl w:val="0"/>
        <w:kinsoku/>
        <w:wordWrap/>
        <w:overflowPunct/>
        <w:topLinePunct w:val="0"/>
        <w:autoSpaceDE w:val="0"/>
        <w:autoSpaceDN w:val="0"/>
        <w:bidi w:val="0"/>
        <w:adjustRightInd w:val="0"/>
        <w:spacing w:line="480" w:lineRule="exact"/>
        <w:ind w:left="119"/>
        <w:jc w:val="left"/>
        <w:textAlignment w:val="auto"/>
        <w:rPr>
          <w:rFonts w:ascii="微软雅黑" w:hAnsi="Times New Roman" w:eastAsia="微软雅黑" w:cs="微软雅黑"/>
          <w:kern w:val="0"/>
          <w:szCs w:val="21"/>
        </w:rPr>
        <w:sectPr>
          <w:footerReference r:id="rId5" w:type="default"/>
          <w:pgSz w:w="11920" w:h="16840"/>
          <w:pgMar w:top="1240" w:right="1240" w:bottom="280" w:left="1300" w:header="0" w:footer="757" w:gutter="0"/>
          <w:pgNumType w:fmt="decimal"/>
          <w:cols w:equalWidth="0" w:num="1">
            <w:col w:w="9380"/>
          </w:cols>
        </w:sectPr>
      </w:pPr>
    </w:p>
    <w:p>
      <w:pPr>
        <w:adjustRightInd w:val="0"/>
        <w:snapToGrid w:val="0"/>
        <w:spacing w:before="120" w:beforeLines="50" w:after="120" w:afterLines="50" w:line="480" w:lineRule="exact"/>
        <w:jc w:val="left"/>
        <w:rPr>
          <w:rFonts w:ascii="微软雅黑" w:hAnsi="Times New Roman" w:eastAsia="微软雅黑" w:cs="微软雅黑"/>
          <w:kern w:val="0"/>
          <w:sz w:val="28"/>
          <w:szCs w:val="28"/>
        </w:rPr>
      </w:pPr>
      <w:r>
        <w:rPr>
          <w:rFonts w:hint="eastAsia" w:asciiTheme="minorEastAsia" w:hAnsiTheme="minorEastAsia" w:cstheme="minorEastAsia"/>
          <w:b/>
          <w:bCs/>
          <w:sz w:val="24"/>
          <w:szCs w:val="24"/>
        </w:rPr>
        <w:pict>
          <v:shape id="_x0000_s1058" o:spid="_x0000_s1058" o:spt="202" type="#_x0000_t202" style="position:absolute;left:0pt;margin-left:70pt;margin-top:72.3pt;height:38.3pt;width:699.6pt;mso-position-horizontal-relative:page;z-index:-251657216;mso-width-relative:page;mso-height-relative:page;" filled="f" stroked="f" coordsize="21600,21600" o:allowincell="f">
            <v:path/>
            <v:fill on="f" focussize="0,0"/>
            <v:stroke on="f" joinstyle="miter"/>
            <v:imagedata o:title=""/>
            <o:lock v:ext="edit"/>
            <v:textbox inset="0mm,0mm,0mm,0mm">
              <w:txbxContent>
                <w:tbl>
                  <w:tblPr>
                    <w:tblStyle w:val="4"/>
                    <w:tblW w:w="0" w:type="auto"/>
                    <w:jc w:val="center"/>
                    <w:tblLayout w:type="fixed"/>
                    <w:tblCellMar>
                      <w:top w:w="0" w:type="dxa"/>
                      <w:left w:w="0" w:type="dxa"/>
                      <w:bottom w:w="0" w:type="dxa"/>
                      <w:right w:w="0" w:type="dxa"/>
                    </w:tblCellMar>
                  </w:tblPr>
                  <w:tblGrid>
                    <w:gridCol w:w="6396"/>
                    <w:gridCol w:w="4042"/>
                    <w:gridCol w:w="3554"/>
                  </w:tblGrid>
                  <w:tr>
                    <w:tblPrEx>
                      <w:tblCellMar>
                        <w:top w:w="0" w:type="dxa"/>
                        <w:left w:w="0" w:type="dxa"/>
                        <w:bottom w:w="0" w:type="dxa"/>
                        <w:right w:w="0" w:type="dxa"/>
                      </w:tblCellMar>
                    </w:tblPrEx>
                    <w:trPr>
                      <w:trHeight w:val="377" w:hRule="exact"/>
                      <w:jc w:val="center"/>
                    </w:trPr>
                    <w:tc>
                      <w:tcPr>
                        <w:tcW w:w="6396" w:type="dxa"/>
                        <w:tcBorders>
                          <w:top w:val="nil"/>
                          <w:left w:val="nil"/>
                          <w:bottom w:val="nil"/>
                          <w:right w:val="nil"/>
                        </w:tcBorders>
                      </w:tcPr>
                      <w:p>
                        <w:pPr>
                          <w:tabs>
                            <w:tab w:val="left" w:pos="4240"/>
                          </w:tabs>
                          <w:autoSpaceDE w:val="0"/>
                          <w:autoSpaceDN w:val="0"/>
                          <w:adjustRightInd w:val="0"/>
                          <w:spacing w:line="336" w:lineRule="exact"/>
                          <w:ind w:left="40"/>
                          <w:jc w:val="left"/>
                          <w:rPr>
                            <w:rFonts w:ascii="Times New Roman" w:hAnsi="Times New Roman" w:cs="Times New Roman"/>
                            <w:kern w:val="0"/>
                            <w:sz w:val="24"/>
                            <w:szCs w:val="24"/>
                          </w:rPr>
                        </w:pPr>
                        <w:r>
                          <w:rPr>
                            <w:rFonts w:hint="eastAsia" w:ascii="微软雅黑" w:hAnsi="Times New Roman" w:eastAsia="微软雅黑" w:cs="微软雅黑"/>
                            <w:kern w:val="0"/>
                            <w:position w:val="-1"/>
                            <w:szCs w:val="21"/>
                          </w:rPr>
                          <w:t>标准</w:t>
                        </w:r>
                        <w:r>
                          <w:rPr>
                            <w:rFonts w:hint="eastAsia" w:ascii="微软雅黑" w:hAnsi="Times New Roman" w:eastAsia="微软雅黑" w:cs="微软雅黑"/>
                            <w:spacing w:val="-2"/>
                            <w:kern w:val="0"/>
                            <w:position w:val="-1"/>
                            <w:szCs w:val="21"/>
                          </w:rPr>
                          <w:t>项</w:t>
                        </w:r>
                        <w:r>
                          <w:rPr>
                            <w:rFonts w:hint="eastAsia" w:ascii="微软雅黑" w:hAnsi="Times New Roman" w:eastAsia="微软雅黑" w:cs="微软雅黑"/>
                            <w:kern w:val="0"/>
                            <w:position w:val="-1"/>
                            <w:szCs w:val="21"/>
                          </w:rPr>
                          <w:t>目</w:t>
                        </w:r>
                        <w:r>
                          <w:rPr>
                            <w:rFonts w:hint="eastAsia" w:ascii="微软雅黑" w:hAnsi="Times New Roman" w:eastAsia="微软雅黑" w:cs="微软雅黑"/>
                            <w:spacing w:val="-2"/>
                            <w:kern w:val="0"/>
                            <w:position w:val="-1"/>
                            <w:szCs w:val="21"/>
                          </w:rPr>
                          <w:t>名</w:t>
                        </w:r>
                        <w:r>
                          <w:rPr>
                            <w:rFonts w:hint="eastAsia" w:ascii="微软雅黑" w:hAnsi="Times New Roman" w:eastAsia="微软雅黑" w:cs="微软雅黑"/>
                            <w:kern w:val="0"/>
                            <w:position w:val="-1"/>
                            <w:szCs w:val="21"/>
                          </w:rPr>
                          <w:t>称</w:t>
                        </w:r>
                        <w:r>
                          <w:rPr>
                            <w:rFonts w:hint="eastAsia" w:ascii="微软雅黑" w:hAnsi="Times New Roman" w:eastAsia="微软雅黑" w:cs="微软雅黑"/>
                            <w:spacing w:val="-2"/>
                            <w:kern w:val="0"/>
                            <w:position w:val="-1"/>
                            <w:szCs w:val="21"/>
                          </w:rPr>
                          <w:t>：</w:t>
                        </w:r>
                        <w:r>
                          <w:rPr>
                            <w:rFonts w:hint="eastAsia" w:ascii="微软雅黑" w:hAnsi="Times New Roman" w:eastAsia="微软雅黑" w:cs="微软雅黑"/>
                            <w:kern w:val="0"/>
                            <w:position w:val="-1"/>
                            <w:szCs w:val="21"/>
                          </w:rPr>
                          <w:t>磷酸一铵、磷酸二铵行业</w:t>
                        </w:r>
                        <w:r>
                          <w:rPr>
                            <w:rFonts w:hint="eastAsia" w:ascii="微软雅黑" w:hAnsi="Times New Roman" w:eastAsia="微软雅黑" w:cs="微软雅黑"/>
                            <w:spacing w:val="-2"/>
                            <w:kern w:val="0"/>
                            <w:position w:val="-1"/>
                            <w:szCs w:val="21"/>
                          </w:rPr>
                          <w:t>绿</w:t>
                        </w:r>
                        <w:r>
                          <w:rPr>
                            <w:rFonts w:hint="eastAsia" w:ascii="微软雅黑" w:hAnsi="Times New Roman" w:eastAsia="微软雅黑" w:cs="微软雅黑"/>
                            <w:kern w:val="0"/>
                            <w:position w:val="-1"/>
                            <w:szCs w:val="21"/>
                          </w:rPr>
                          <w:t>色</w:t>
                        </w:r>
                        <w:r>
                          <w:rPr>
                            <w:rFonts w:hint="eastAsia" w:ascii="微软雅黑" w:hAnsi="Times New Roman" w:eastAsia="微软雅黑" w:cs="微软雅黑"/>
                            <w:spacing w:val="-2"/>
                            <w:kern w:val="0"/>
                            <w:position w:val="-1"/>
                            <w:szCs w:val="21"/>
                          </w:rPr>
                          <w:t>工</w:t>
                        </w:r>
                        <w:r>
                          <w:rPr>
                            <w:rFonts w:hint="eastAsia" w:ascii="微软雅黑" w:hAnsi="Times New Roman" w:eastAsia="微软雅黑" w:cs="微软雅黑"/>
                            <w:kern w:val="0"/>
                            <w:position w:val="-1"/>
                            <w:szCs w:val="21"/>
                          </w:rPr>
                          <w:t>厂</w:t>
                        </w:r>
                        <w:r>
                          <w:rPr>
                            <w:rFonts w:hint="eastAsia" w:ascii="微软雅黑" w:hAnsi="Times New Roman" w:eastAsia="微软雅黑" w:cs="微软雅黑"/>
                            <w:spacing w:val="-2"/>
                            <w:kern w:val="0"/>
                            <w:position w:val="-1"/>
                            <w:szCs w:val="21"/>
                          </w:rPr>
                          <w:t>评</w:t>
                        </w:r>
                        <w:r>
                          <w:rPr>
                            <w:rFonts w:hint="eastAsia" w:ascii="微软雅黑" w:hAnsi="Times New Roman" w:eastAsia="微软雅黑" w:cs="微软雅黑"/>
                            <w:kern w:val="0"/>
                            <w:position w:val="-1"/>
                            <w:szCs w:val="21"/>
                          </w:rPr>
                          <w:t>价</w:t>
                        </w:r>
                        <w:r>
                          <w:rPr>
                            <w:rFonts w:hint="eastAsia" w:ascii="微软雅黑" w:hAnsi="Times New Roman" w:eastAsia="微软雅黑" w:cs="微软雅黑"/>
                            <w:spacing w:val="1"/>
                            <w:kern w:val="0"/>
                            <w:position w:val="-1"/>
                            <w:szCs w:val="21"/>
                          </w:rPr>
                          <w:t>要</w:t>
                        </w:r>
                        <w:r>
                          <w:rPr>
                            <w:rFonts w:hint="eastAsia" w:ascii="微软雅黑" w:hAnsi="Times New Roman" w:eastAsia="微软雅黑" w:cs="微软雅黑"/>
                            <w:kern w:val="0"/>
                            <w:position w:val="-1"/>
                            <w:szCs w:val="21"/>
                          </w:rPr>
                          <w:t>求</w:t>
                        </w:r>
                      </w:p>
                    </w:tc>
                    <w:tc>
                      <w:tcPr>
                        <w:tcW w:w="4042" w:type="dxa"/>
                        <w:tcBorders>
                          <w:top w:val="nil"/>
                          <w:left w:val="nil"/>
                          <w:bottom w:val="nil"/>
                          <w:right w:val="nil"/>
                        </w:tcBorders>
                      </w:tcPr>
                      <w:p>
                        <w:pPr>
                          <w:autoSpaceDE w:val="0"/>
                          <w:autoSpaceDN w:val="0"/>
                          <w:adjustRightInd w:val="0"/>
                          <w:spacing w:line="336" w:lineRule="exact"/>
                          <w:ind w:left="1522"/>
                          <w:jc w:val="left"/>
                          <w:rPr>
                            <w:rFonts w:ascii="Times New Roman" w:hAnsi="Times New Roman" w:cs="Times New Roman"/>
                            <w:kern w:val="0"/>
                            <w:sz w:val="24"/>
                            <w:szCs w:val="24"/>
                          </w:rPr>
                        </w:pPr>
                        <w:r>
                          <w:rPr>
                            <w:rFonts w:hint="eastAsia" w:ascii="微软雅黑" w:hAnsi="Times New Roman" w:eastAsia="微软雅黑" w:cs="微软雅黑"/>
                            <w:spacing w:val="-2"/>
                            <w:kern w:val="0"/>
                            <w:position w:val="-1"/>
                            <w:szCs w:val="21"/>
                          </w:rPr>
                          <w:t>承</w:t>
                        </w:r>
                        <w:r>
                          <w:rPr>
                            <w:rFonts w:hint="eastAsia" w:ascii="微软雅黑" w:hAnsi="Times New Roman" w:eastAsia="微软雅黑" w:cs="微软雅黑"/>
                            <w:kern w:val="0"/>
                            <w:position w:val="-1"/>
                            <w:szCs w:val="21"/>
                          </w:rPr>
                          <w:t>办</w:t>
                        </w:r>
                        <w:r>
                          <w:rPr>
                            <w:rFonts w:hint="eastAsia" w:ascii="微软雅黑" w:hAnsi="Times New Roman" w:eastAsia="微软雅黑" w:cs="微软雅黑"/>
                            <w:spacing w:val="-2"/>
                            <w:kern w:val="0"/>
                            <w:position w:val="-1"/>
                            <w:szCs w:val="21"/>
                          </w:rPr>
                          <w:t>人</w:t>
                        </w:r>
                        <w:r>
                          <w:rPr>
                            <w:rFonts w:hint="eastAsia" w:ascii="微软雅黑" w:hAnsi="Times New Roman" w:eastAsia="微软雅黑" w:cs="微软雅黑"/>
                            <w:kern w:val="0"/>
                            <w:position w:val="-1"/>
                            <w:szCs w:val="21"/>
                          </w:rPr>
                          <w:t>：何耀</w:t>
                        </w:r>
                      </w:p>
                    </w:tc>
                    <w:tc>
                      <w:tcPr>
                        <w:tcW w:w="3554" w:type="dxa"/>
                        <w:tcBorders>
                          <w:top w:val="nil"/>
                          <w:left w:val="nil"/>
                          <w:bottom w:val="nil"/>
                          <w:right w:val="nil"/>
                        </w:tcBorders>
                      </w:tcPr>
                      <w:p>
                        <w:pPr>
                          <w:autoSpaceDE w:val="0"/>
                          <w:autoSpaceDN w:val="0"/>
                          <w:adjustRightInd w:val="0"/>
                          <w:spacing w:line="336" w:lineRule="exact"/>
                          <w:ind w:left="734"/>
                          <w:jc w:val="left"/>
                          <w:rPr>
                            <w:rFonts w:ascii="Times New Roman" w:hAnsi="Times New Roman" w:cs="Times New Roman"/>
                            <w:kern w:val="0"/>
                            <w:sz w:val="24"/>
                            <w:szCs w:val="24"/>
                          </w:rPr>
                        </w:pPr>
                        <w:r>
                          <w:rPr>
                            <w:rFonts w:hint="eastAsia" w:ascii="微软雅黑" w:hAnsi="Times New Roman" w:eastAsia="微软雅黑" w:cs="微软雅黑"/>
                            <w:kern w:val="0"/>
                            <w:position w:val="-1"/>
                            <w:szCs w:val="21"/>
                          </w:rPr>
                          <w:t>共</w:t>
                        </w:r>
                        <w:r>
                          <w:rPr>
                            <w:rFonts w:hint="eastAsia" w:ascii="微软雅黑" w:hAnsi="Times New Roman" w:eastAsia="微软雅黑" w:cs="微软雅黑"/>
                            <w:spacing w:val="-12"/>
                            <w:kern w:val="0"/>
                            <w:position w:val="-1"/>
                            <w:szCs w:val="21"/>
                          </w:rPr>
                          <w:t>2</w:t>
                        </w:r>
                        <w:r>
                          <w:rPr>
                            <w:rFonts w:ascii="Times New Roman" w:hAnsi="Times New Roman" w:eastAsia="微软雅黑" w:cs="Times New Roman"/>
                            <w:kern w:val="0"/>
                            <w:position w:val="-1"/>
                            <w:szCs w:val="21"/>
                          </w:rPr>
                          <w:t xml:space="preserve"> </w:t>
                        </w:r>
                        <w:r>
                          <w:rPr>
                            <w:rFonts w:hint="eastAsia" w:ascii="微软雅黑" w:hAnsi="Times New Roman" w:eastAsia="微软雅黑" w:cs="微软雅黑"/>
                            <w:kern w:val="0"/>
                            <w:position w:val="-1"/>
                            <w:szCs w:val="21"/>
                          </w:rPr>
                          <w:t>页</w:t>
                        </w:r>
                        <w:r>
                          <w:rPr>
                            <w:rFonts w:ascii="微软雅黑" w:hAnsi="Times New Roman" w:eastAsia="微软雅黑" w:cs="微软雅黑"/>
                            <w:spacing w:val="40"/>
                            <w:kern w:val="0"/>
                            <w:position w:val="-1"/>
                            <w:szCs w:val="21"/>
                          </w:rPr>
                          <w:t xml:space="preserve"> </w:t>
                        </w:r>
                      </w:p>
                    </w:tc>
                  </w:tr>
                  <w:tr>
                    <w:tblPrEx>
                      <w:tblCellMar>
                        <w:top w:w="0" w:type="dxa"/>
                        <w:left w:w="0" w:type="dxa"/>
                        <w:bottom w:w="0" w:type="dxa"/>
                        <w:right w:w="0" w:type="dxa"/>
                      </w:tblCellMar>
                    </w:tblPrEx>
                    <w:trPr>
                      <w:trHeight w:val="389" w:hRule="exact"/>
                      <w:jc w:val="center"/>
                    </w:trPr>
                    <w:tc>
                      <w:tcPr>
                        <w:tcW w:w="6396" w:type="dxa"/>
                        <w:tcBorders>
                          <w:top w:val="nil"/>
                          <w:left w:val="nil"/>
                          <w:bottom w:val="nil"/>
                          <w:right w:val="nil"/>
                        </w:tcBorders>
                      </w:tcPr>
                      <w:p>
                        <w:pPr>
                          <w:autoSpaceDE w:val="0"/>
                          <w:autoSpaceDN w:val="0"/>
                          <w:adjustRightInd w:val="0"/>
                          <w:spacing w:line="302" w:lineRule="exact"/>
                          <w:ind w:left="40"/>
                          <w:jc w:val="left"/>
                          <w:rPr>
                            <w:rFonts w:ascii="Times New Roman" w:hAnsi="Times New Roman" w:eastAsia="微软雅黑" w:cs="Times New Roman"/>
                            <w:kern w:val="0"/>
                            <w:sz w:val="24"/>
                            <w:szCs w:val="24"/>
                          </w:rPr>
                        </w:pPr>
                        <w:r>
                          <w:rPr>
                            <w:rFonts w:hint="eastAsia" w:ascii="微软雅黑" w:hAnsi="Times New Roman" w:eastAsia="微软雅黑" w:cs="微软雅黑"/>
                            <w:kern w:val="0"/>
                            <w:position w:val="-1"/>
                            <w:szCs w:val="21"/>
                          </w:rPr>
                          <w:t>标准</w:t>
                        </w:r>
                        <w:r>
                          <w:rPr>
                            <w:rFonts w:hint="eastAsia" w:ascii="微软雅黑" w:hAnsi="Times New Roman" w:eastAsia="微软雅黑" w:cs="微软雅黑"/>
                            <w:spacing w:val="-2"/>
                            <w:kern w:val="0"/>
                            <w:position w:val="-1"/>
                            <w:szCs w:val="21"/>
                          </w:rPr>
                          <w:t>项</w:t>
                        </w:r>
                        <w:r>
                          <w:rPr>
                            <w:rFonts w:hint="eastAsia" w:ascii="微软雅黑" w:hAnsi="Times New Roman" w:eastAsia="微软雅黑" w:cs="微软雅黑"/>
                            <w:kern w:val="0"/>
                            <w:position w:val="-1"/>
                            <w:szCs w:val="21"/>
                          </w:rPr>
                          <w:t>目</w:t>
                        </w:r>
                        <w:r>
                          <w:rPr>
                            <w:rFonts w:hint="eastAsia" w:ascii="微软雅黑" w:hAnsi="Times New Roman" w:eastAsia="微软雅黑" w:cs="微软雅黑"/>
                            <w:spacing w:val="-2"/>
                            <w:kern w:val="0"/>
                            <w:position w:val="-1"/>
                            <w:szCs w:val="21"/>
                          </w:rPr>
                          <w:t>负</w:t>
                        </w:r>
                        <w:r>
                          <w:rPr>
                            <w:rFonts w:hint="eastAsia" w:ascii="微软雅黑" w:hAnsi="Times New Roman" w:eastAsia="微软雅黑" w:cs="微软雅黑"/>
                            <w:kern w:val="0"/>
                            <w:position w:val="-1"/>
                            <w:szCs w:val="21"/>
                          </w:rPr>
                          <w:t>责</w:t>
                        </w:r>
                        <w:r>
                          <w:rPr>
                            <w:rFonts w:hint="eastAsia" w:ascii="微软雅黑" w:hAnsi="Times New Roman" w:eastAsia="微软雅黑" w:cs="微软雅黑"/>
                            <w:spacing w:val="-2"/>
                            <w:kern w:val="0"/>
                            <w:position w:val="-1"/>
                            <w:szCs w:val="21"/>
                          </w:rPr>
                          <w:t>起</w:t>
                        </w:r>
                        <w:r>
                          <w:rPr>
                            <w:rFonts w:hint="eastAsia" w:ascii="微软雅黑" w:hAnsi="Times New Roman" w:eastAsia="微软雅黑" w:cs="微软雅黑"/>
                            <w:kern w:val="0"/>
                            <w:position w:val="-1"/>
                            <w:szCs w:val="21"/>
                          </w:rPr>
                          <w:t>草</w:t>
                        </w:r>
                        <w:r>
                          <w:rPr>
                            <w:rFonts w:hint="eastAsia" w:ascii="微软雅黑" w:hAnsi="Times New Roman" w:eastAsia="微软雅黑" w:cs="微软雅黑"/>
                            <w:spacing w:val="-2"/>
                            <w:kern w:val="0"/>
                            <w:position w:val="-1"/>
                            <w:szCs w:val="21"/>
                          </w:rPr>
                          <w:t>单</w:t>
                        </w:r>
                        <w:r>
                          <w:rPr>
                            <w:rFonts w:hint="eastAsia" w:ascii="微软雅黑" w:hAnsi="Times New Roman" w:eastAsia="微软雅黑" w:cs="微软雅黑"/>
                            <w:kern w:val="0"/>
                            <w:position w:val="-1"/>
                            <w:szCs w:val="21"/>
                          </w:rPr>
                          <w:t>位</w:t>
                        </w:r>
                        <w:r>
                          <w:rPr>
                            <w:rFonts w:hint="eastAsia" w:ascii="微软雅黑" w:hAnsi="Times New Roman" w:eastAsia="微软雅黑" w:cs="微软雅黑"/>
                            <w:spacing w:val="-2"/>
                            <w:kern w:val="0"/>
                            <w:position w:val="-1"/>
                            <w:szCs w:val="21"/>
                          </w:rPr>
                          <w:t>：</w:t>
                        </w:r>
                        <w:r>
                          <w:rPr>
                            <w:rFonts w:hint="eastAsia" w:ascii="微软雅黑" w:hAnsi="Times New Roman" w:eastAsia="微软雅黑" w:cs="微软雅黑"/>
                            <w:kern w:val="0"/>
                            <w:position w:val="-1"/>
                            <w:szCs w:val="21"/>
                          </w:rPr>
                          <w:t>上海化工研究院有限公司</w:t>
                        </w:r>
                      </w:p>
                    </w:tc>
                    <w:tc>
                      <w:tcPr>
                        <w:tcW w:w="4042" w:type="dxa"/>
                        <w:tcBorders>
                          <w:top w:val="nil"/>
                          <w:left w:val="nil"/>
                          <w:bottom w:val="nil"/>
                          <w:right w:val="nil"/>
                        </w:tcBorders>
                      </w:tcPr>
                      <w:p>
                        <w:pPr>
                          <w:autoSpaceDE w:val="0"/>
                          <w:autoSpaceDN w:val="0"/>
                          <w:adjustRightInd w:val="0"/>
                          <w:spacing w:line="302" w:lineRule="exact"/>
                          <w:ind w:left="1524"/>
                          <w:jc w:val="left"/>
                          <w:rPr>
                            <w:rFonts w:ascii="Times New Roman" w:hAnsi="Times New Roman" w:cs="Times New Roman"/>
                            <w:kern w:val="0"/>
                            <w:sz w:val="24"/>
                            <w:szCs w:val="24"/>
                          </w:rPr>
                        </w:pPr>
                        <w:r>
                          <w:rPr>
                            <w:rFonts w:hint="eastAsia" w:ascii="微软雅黑" w:hAnsi="Times New Roman" w:eastAsia="微软雅黑" w:cs="微软雅黑"/>
                            <w:spacing w:val="-2"/>
                            <w:kern w:val="0"/>
                            <w:position w:val="-1"/>
                            <w:szCs w:val="21"/>
                          </w:rPr>
                          <w:t>电</w:t>
                        </w:r>
                        <w:r>
                          <w:rPr>
                            <w:rFonts w:hint="eastAsia" w:ascii="微软雅黑" w:hAnsi="Times New Roman" w:eastAsia="微软雅黑" w:cs="微软雅黑"/>
                            <w:kern w:val="0"/>
                            <w:position w:val="-1"/>
                            <w:szCs w:val="21"/>
                          </w:rPr>
                          <w:t>话</w:t>
                        </w:r>
                        <w:r>
                          <w:rPr>
                            <w:rFonts w:hint="eastAsia" w:ascii="微软雅黑" w:hAnsi="Times New Roman" w:eastAsia="微软雅黑" w:cs="微软雅黑"/>
                            <w:spacing w:val="-2"/>
                            <w:kern w:val="0"/>
                            <w:position w:val="-1"/>
                            <w:szCs w:val="21"/>
                          </w:rPr>
                          <w:t>：13661851971</w:t>
                        </w:r>
                      </w:p>
                    </w:tc>
                    <w:tc>
                      <w:tcPr>
                        <w:tcW w:w="3554" w:type="dxa"/>
                        <w:tcBorders>
                          <w:top w:val="nil"/>
                          <w:left w:val="nil"/>
                          <w:bottom w:val="nil"/>
                          <w:right w:val="nil"/>
                        </w:tcBorders>
                      </w:tcPr>
                      <w:p>
                        <w:pPr>
                          <w:autoSpaceDE w:val="0"/>
                          <w:autoSpaceDN w:val="0"/>
                          <w:adjustRightInd w:val="0"/>
                          <w:spacing w:line="302" w:lineRule="exact"/>
                          <w:ind w:left="737"/>
                          <w:jc w:val="left"/>
                          <w:rPr>
                            <w:rFonts w:ascii="Times New Roman" w:hAnsi="Times New Roman" w:cs="Times New Roman"/>
                            <w:kern w:val="0"/>
                            <w:sz w:val="24"/>
                            <w:szCs w:val="24"/>
                          </w:rPr>
                        </w:pPr>
                        <w:r>
                          <w:rPr>
                            <w:rFonts w:hint="eastAsia" w:ascii="微软雅黑" w:hAnsi="Times New Roman" w:eastAsia="微软雅黑" w:cs="微软雅黑"/>
                            <w:spacing w:val="-2"/>
                            <w:kern w:val="0"/>
                            <w:position w:val="-1"/>
                            <w:szCs w:val="21"/>
                          </w:rPr>
                          <w:t>填</w:t>
                        </w:r>
                        <w:r>
                          <w:rPr>
                            <w:rFonts w:hint="eastAsia" w:ascii="微软雅黑" w:hAnsi="Times New Roman" w:eastAsia="微软雅黑" w:cs="微软雅黑"/>
                            <w:kern w:val="0"/>
                            <w:position w:val="-1"/>
                            <w:szCs w:val="21"/>
                          </w:rPr>
                          <w:t>写</w:t>
                        </w:r>
                        <w:r>
                          <w:rPr>
                            <w:rFonts w:hint="eastAsia" w:ascii="微软雅黑" w:hAnsi="Times New Roman" w:eastAsia="微软雅黑" w:cs="微软雅黑"/>
                            <w:spacing w:val="-2"/>
                            <w:kern w:val="0"/>
                            <w:position w:val="-1"/>
                            <w:szCs w:val="21"/>
                          </w:rPr>
                          <w:t>日</w:t>
                        </w:r>
                        <w:r>
                          <w:rPr>
                            <w:rFonts w:hint="eastAsia" w:ascii="微软雅黑" w:hAnsi="Times New Roman" w:eastAsia="微软雅黑" w:cs="微软雅黑"/>
                            <w:kern w:val="0"/>
                            <w:position w:val="-1"/>
                            <w:szCs w:val="21"/>
                          </w:rPr>
                          <w:t>期：</w:t>
                        </w:r>
                        <w:r>
                          <w:rPr>
                            <w:rFonts w:ascii="Times New Roman" w:hAnsi="Times New Roman" w:eastAsia="微软雅黑" w:cs="Times New Roman"/>
                            <w:kern w:val="0"/>
                            <w:position w:val="-1"/>
                            <w:szCs w:val="21"/>
                          </w:rPr>
                          <w:t>2</w:t>
                        </w:r>
                        <w:r>
                          <w:rPr>
                            <w:rFonts w:ascii="Times New Roman" w:hAnsi="Times New Roman" w:eastAsia="微软雅黑" w:cs="Times New Roman"/>
                            <w:spacing w:val="-2"/>
                            <w:kern w:val="0"/>
                            <w:position w:val="-1"/>
                            <w:szCs w:val="21"/>
                          </w:rPr>
                          <w:t>0</w:t>
                        </w:r>
                        <w:r>
                          <w:rPr>
                            <w:rFonts w:ascii="Times New Roman" w:hAnsi="Times New Roman" w:eastAsia="微软雅黑" w:cs="Times New Roman"/>
                            <w:kern w:val="0"/>
                            <w:position w:val="-1"/>
                            <w:szCs w:val="21"/>
                          </w:rPr>
                          <w:t>2</w:t>
                        </w:r>
                        <w:r>
                          <w:rPr>
                            <w:rFonts w:hint="eastAsia" w:ascii="Times New Roman" w:hAnsi="Times New Roman" w:eastAsia="微软雅黑" w:cs="Times New Roman"/>
                            <w:kern w:val="0"/>
                            <w:position w:val="-1"/>
                            <w:szCs w:val="21"/>
                          </w:rPr>
                          <w:t>2</w:t>
                        </w:r>
                        <w:r>
                          <w:rPr>
                            <w:rFonts w:hint="eastAsia" w:ascii="微软雅黑" w:hAnsi="Times New Roman" w:eastAsia="微软雅黑" w:cs="微软雅黑"/>
                            <w:kern w:val="0"/>
                            <w:position w:val="-1"/>
                            <w:szCs w:val="21"/>
                          </w:rPr>
                          <w:t>年</w:t>
                        </w:r>
                        <w:r>
                          <w:rPr>
                            <w:rFonts w:hint="eastAsia" w:ascii="Times New Roman" w:hAnsi="Times New Roman" w:eastAsia="微软雅黑" w:cs="Times New Roman"/>
                            <w:spacing w:val="-10"/>
                            <w:kern w:val="0"/>
                            <w:position w:val="-1"/>
                            <w:szCs w:val="21"/>
                          </w:rPr>
                          <w:t>03</w:t>
                        </w:r>
                        <w:r>
                          <w:rPr>
                            <w:rFonts w:hint="eastAsia" w:ascii="微软雅黑" w:hAnsi="Times New Roman" w:eastAsia="微软雅黑" w:cs="微软雅黑"/>
                            <w:kern w:val="0"/>
                            <w:position w:val="-1"/>
                            <w:szCs w:val="21"/>
                          </w:rPr>
                          <w:t>月</w:t>
                        </w:r>
                        <w:r>
                          <w:rPr>
                            <w:rFonts w:ascii="Times New Roman" w:hAnsi="Times New Roman" w:eastAsia="微软雅黑" w:cs="Times New Roman"/>
                            <w:spacing w:val="-2"/>
                            <w:kern w:val="0"/>
                            <w:position w:val="-1"/>
                            <w:szCs w:val="21"/>
                          </w:rPr>
                          <w:t>1</w:t>
                        </w:r>
                        <w:r>
                          <w:rPr>
                            <w:rFonts w:hint="eastAsia" w:ascii="Times New Roman" w:hAnsi="Times New Roman" w:eastAsia="微软雅黑" w:cs="Times New Roman"/>
                            <w:kern w:val="0"/>
                            <w:position w:val="-1"/>
                            <w:szCs w:val="21"/>
                            <w:lang w:val="en-US" w:eastAsia="zh-CN"/>
                          </w:rPr>
                          <w:t>4</w:t>
                        </w:r>
                        <w:r>
                          <w:rPr>
                            <w:rFonts w:hint="eastAsia" w:ascii="微软雅黑" w:hAnsi="Times New Roman" w:eastAsia="微软雅黑" w:cs="微软雅黑"/>
                            <w:kern w:val="0"/>
                            <w:position w:val="-1"/>
                            <w:szCs w:val="21"/>
                          </w:rPr>
                          <w:t>日</w:t>
                        </w:r>
                      </w:p>
                    </w:tc>
                  </w:tr>
                </w:tbl>
                <w:p>
                  <w:pPr>
                    <w:autoSpaceDE w:val="0"/>
                    <w:autoSpaceDN w:val="0"/>
                    <w:adjustRightInd w:val="0"/>
                    <w:jc w:val="left"/>
                    <w:rPr>
                      <w:rFonts w:ascii="Times New Roman" w:hAnsi="Times New Roman" w:cs="Times New Roman"/>
                      <w:kern w:val="0"/>
                      <w:sz w:val="24"/>
                      <w:szCs w:val="24"/>
                    </w:rPr>
                  </w:pPr>
                </w:p>
              </w:txbxContent>
            </v:textbox>
          </v:shape>
        </w:pict>
      </w:r>
      <w:r>
        <w:rPr>
          <w:rFonts w:hint="eastAsia" w:asciiTheme="minorEastAsia" w:hAnsiTheme="minorEastAsia" w:cstheme="minorEastAsia"/>
          <w:b/>
          <w:bCs/>
          <w:sz w:val="24"/>
          <w:szCs w:val="24"/>
        </w:rPr>
        <w:t xml:space="preserve">附件 1 </w:t>
      </w:r>
      <w:r>
        <w:rPr>
          <w:rFonts w:hint="eastAsia" w:asciiTheme="minorEastAsia" w:hAnsiTheme="minorEastAsia" w:cstheme="minorEastAsia"/>
          <w:b/>
          <w:bCs/>
          <w:sz w:val="24"/>
          <w:szCs w:val="24"/>
          <w:lang w:val="en-US" w:eastAsia="zh-CN"/>
        </w:rPr>
        <w:t>标准起草组会议讨论</w:t>
      </w:r>
      <w:r>
        <w:rPr>
          <w:rFonts w:hint="eastAsia" w:asciiTheme="minorEastAsia" w:hAnsiTheme="minorEastAsia" w:cstheme="minorEastAsia"/>
          <w:b/>
          <w:bCs/>
          <w:sz w:val="24"/>
          <w:szCs w:val="24"/>
        </w:rPr>
        <w:t>意见汇总表</w:t>
      </w:r>
    </w:p>
    <w:p>
      <w:pPr>
        <w:autoSpaceDE w:val="0"/>
        <w:autoSpaceDN w:val="0"/>
        <w:adjustRightInd w:val="0"/>
        <w:spacing w:line="418" w:lineRule="exact"/>
        <w:jc w:val="center"/>
        <w:rPr>
          <w:rFonts w:ascii="微软雅黑" w:hAnsi="Times New Roman" w:eastAsia="微软雅黑" w:cs="微软雅黑"/>
          <w:kern w:val="0"/>
          <w:sz w:val="32"/>
          <w:szCs w:val="32"/>
        </w:rPr>
      </w:pPr>
      <w:r>
        <w:rPr>
          <w:rFonts w:hint="eastAsia" w:ascii="微软雅黑" w:hAnsi="Times New Roman" w:eastAsia="微软雅黑" w:cs="微软雅黑"/>
          <w:spacing w:val="2"/>
          <w:kern w:val="0"/>
          <w:sz w:val="32"/>
          <w:szCs w:val="32"/>
        </w:rPr>
        <w:t>《磷酸一铵、磷酸二铵行</w:t>
      </w:r>
      <w:r>
        <w:rPr>
          <w:rFonts w:hint="eastAsia" w:ascii="微软雅黑" w:hAnsi="Times New Roman" w:eastAsia="微软雅黑" w:cs="微软雅黑"/>
          <w:kern w:val="0"/>
          <w:sz w:val="32"/>
          <w:szCs w:val="32"/>
        </w:rPr>
        <w:t>业</w:t>
      </w:r>
      <w:r>
        <w:rPr>
          <w:rFonts w:hint="eastAsia" w:ascii="微软雅黑" w:hAnsi="Times New Roman" w:eastAsia="微软雅黑" w:cs="微软雅黑"/>
          <w:spacing w:val="2"/>
          <w:kern w:val="0"/>
          <w:sz w:val="32"/>
          <w:szCs w:val="32"/>
        </w:rPr>
        <w:t>绿色工厂评价</w:t>
      </w:r>
      <w:r>
        <w:rPr>
          <w:rFonts w:hint="eastAsia" w:ascii="微软雅黑" w:hAnsi="Times New Roman" w:eastAsia="微软雅黑" w:cs="微软雅黑"/>
          <w:kern w:val="0"/>
          <w:sz w:val="32"/>
          <w:szCs w:val="32"/>
        </w:rPr>
        <w:t>要</w:t>
      </w:r>
      <w:r>
        <w:rPr>
          <w:rFonts w:hint="eastAsia" w:ascii="微软雅黑" w:hAnsi="Times New Roman" w:eastAsia="微软雅黑" w:cs="微软雅黑"/>
          <w:spacing w:val="5"/>
          <w:kern w:val="0"/>
          <w:sz w:val="32"/>
          <w:szCs w:val="32"/>
        </w:rPr>
        <w:t>求</w:t>
      </w:r>
      <w:r>
        <w:rPr>
          <w:rFonts w:hint="eastAsia" w:ascii="微软雅黑" w:hAnsi="Times New Roman" w:eastAsia="微软雅黑" w:cs="微软雅黑"/>
          <w:spacing w:val="2"/>
          <w:kern w:val="0"/>
          <w:sz w:val="32"/>
          <w:szCs w:val="32"/>
        </w:rPr>
        <w:t>》意见汇总</w:t>
      </w:r>
    </w:p>
    <w:p>
      <w:pPr>
        <w:autoSpaceDE w:val="0"/>
        <w:autoSpaceDN w:val="0"/>
        <w:adjustRightInd w:val="0"/>
        <w:spacing w:before="9" w:line="190" w:lineRule="exact"/>
        <w:jc w:val="left"/>
        <w:rPr>
          <w:rFonts w:ascii="微软雅黑" w:hAnsi="Times New Roman" w:eastAsia="微软雅黑" w:cs="微软雅黑"/>
          <w:kern w:val="0"/>
          <w:sz w:val="19"/>
          <w:szCs w:val="19"/>
        </w:rPr>
      </w:pPr>
    </w:p>
    <w:p>
      <w:pPr>
        <w:autoSpaceDE w:val="0"/>
        <w:autoSpaceDN w:val="0"/>
        <w:adjustRightInd w:val="0"/>
        <w:spacing w:line="200" w:lineRule="exact"/>
        <w:jc w:val="left"/>
        <w:rPr>
          <w:rFonts w:ascii="微软雅黑" w:hAnsi="Times New Roman" w:eastAsia="微软雅黑" w:cs="微软雅黑"/>
          <w:kern w:val="0"/>
          <w:sz w:val="20"/>
          <w:szCs w:val="20"/>
        </w:rPr>
      </w:pPr>
    </w:p>
    <w:p>
      <w:pPr>
        <w:autoSpaceDE w:val="0"/>
        <w:autoSpaceDN w:val="0"/>
        <w:adjustRightInd w:val="0"/>
        <w:spacing w:line="200" w:lineRule="exact"/>
        <w:jc w:val="left"/>
        <w:rPr>
          <w:rFonts w:ascii="微软雅黑" w:hAnsi="Times New Roman" w:eastAsia="微软雅黑" w:cs="微软雅黑"/>
          <w:kern w:val="0"/>
          <w:sz w:val="20"/>
          <w:szCs w:val="20"/>
        </w:rPr>
      </w:pPr>
    </w:p>
    <w:p>
      <w:pPr>
        <w:autoSpaceDE w:val="0"/>
        <w:autoSpaceDN w:val="0"/>
        <w:adjustRightInd w:val="0"/>
        <w:spacing w:line="200" w:lineRule="exact"/>
        <w:jc w:val="left"/>
        <w:rPr>
          <w:rFonts w:ascii="微软雅黑" w:hAnsi="Times New Roman" w:eastAsia="微软雅黑" w:cs="微软雅黑"/>
          <w:kern w:val="0"/>
          <w:sz w:val="20"/>
          <w:szCs w:val="20"/>
        </w:rPr>
      </w:pPr>
    </w:p>
    <w:tbl>
      <w:tblPr>
        <w:tblStyle w:val="4"/>
        <w:tblpPr w:leftFromText="180" w:rightFromText="180" w:vertAnchor="text" w:horzAnchor="page" w:tblpXSpec="center" w:tblpY="335"/>
        <w:tblOverlap w:val="never"/>
        <w:tblW w:w="0" w:type="auto"/>
        <w:jc w:val="center"/>
        <w:tblLayout w:type="fixed"/>
        <w:tblCellMar>
          <w:top w:w="0" w:type="dxa"/>
          <w:left w:w="0" w:type="dxa"/>
          <w:bottom w:w="0" w:type="dxa"/>
          <w:right w:w="0" w:type="dxa"/>
        </w:tblCellMar>
      </w:tblPr>
      <w:tblGrid>
        <w:gridCol w:w="851"/>
        <w:gridCol w:w="4846"/>
        <w:gridCol w:w="2712"/>
        <w:gridCol w:w="1229"/>
        <w:gridCol w:w="4488"/>
      </w:tblGrid>
      <w:tr>
        <w:tblPrEx>
          <w:tblCellMar>
            <w:top w:w="0" w:type="dxa"/>
            <w:left w:w="0" w:type="dxa"/>
            <w:bottom w:w="0" w:type="dxa"/>
            <w:right w:w="0" w:type="dxa"/>
          </w:tblCellMar>
        </w:tblPrEx>
        <w:trPr>
          <w:trHeight w:val="758" w:hRule="exact"/>
          <w:jc w:val="center"/>
        </w:trPr>
        <w:tc>
          <w:tcPr>
            <w:tcW w:w="851"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pacing w:line="318" w:lineRule="exact"/>
              <w:ind w:left="205"/>
              <w:jc w:val="left"/>
              <w:rPr>
                <w:rFonts w:ascii="微软雅黑" w:hAnsi="Times New Roman" w:eastAsia="微软雅黑" w:cs="微软雅黑"/>
                <w:kern w:val="0"/>
                <w:szCs w:val="21"/>
              </w:rPr>
            </w:pPr>
            <w:r>
              <w:rPr>
                <w:rFonts w:hint="eastAsia" w:ascii="微软雅黑" w:hAnsi="Times New Roman" w:eastAsia="微软雅黑" w:cs="微软雅黑"/>
                <w:kern w:val="0"/>
                <w:position w:val="-1"/>
                <w:szCs w:val="21"/>
              </w:rPr>
              <w:t>序</w:t>
            </w:r>
          </w:p>
          <w:p>
            <w:pPr>
              <w:autoSpaceDE w:val="0"/>
              <w:autoSpaceDN w:val="0"/>
              <w:adjustRightInd w:val="0"/>
              <w:spacing w:before="16"/>
              <w:ind w:left="205"/>
              <w:jc w:val="left"/>
              <w:rPr>
                <w:rFonts w:ascii="Times New Roman" w:hAnsi="Times New Roman" w:cs="Times New Roman"/>
                <w:kern w:val="0"/>
                <w:sz w:val="24"/>
                <w:szCs w:val="24"/>
              </w:rPr>
            </w:pPr>
            <w:r>
              <w:rPr>
                <w:rFonts w:hint="eastAsia" w:ascii="微软雅黑" w:hAnsi="Times New Roman" w:eastAsia="微软雅黑" w:cs="微软雅黑"/>
                <w:kern w:val="0"/>
                <w:szCs w:val="21"/>
              </w:rPr>
              <w:t>号</w:t>
            </w:r>
          </w:p>
        </w:tc>
        <w:tc>
          <w:tcPr>
            <w:tcW w:w="4846"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center"/>
              <w:rPr>
                <w:rFonts w:ascii="Times New Roman" w:hAnsi="Times New Roman" w:cs="Times New Roman"/>
                <w:kern w:val="0"/>
                <w:sz w:val="24"/>
                <w:szCs w:val="24"/>
              </w:rPr>
            </w:pPr>
            <w:r>
              <w:rPr>
                <w:rFonts w:hint="eastAsia" w:ascii="微软雅黑" w:hAnsi="Times New Roman" w:eastAsia="微软雅黑" w:cs="微软雅黑"/>
                <w:kern w:val="0"/>
                <w:szCs w:val="21"/>
              </w:rPr>
              <w:t>意见</w:t>
            </w:r>
          </w:p>
        </w:tc>
        <w:tc>
          <w:tcPr>
            <w:tcW w:w="2712"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pacing w:before="7" w:line="140" w:lineRule="exact"/>
              <w:jc w:val="left"/>
              <w:rPr>
                <w:rFonts w:ascii="Times New Roman" w:hAnsi="Times New Roman" w:cs="Times New Roman"/>
                <w:kern w:val="0"/>
                <w:sz w:val="14"/>
                <w:szCs w:val="14"/>
              </w:rPr>
            </w:pPr>
          </w:p>
          <w:p>
            <w:pPr>
              <w:autoSpaceDE w:val="0"/>
              <w:autoSpaceDN w:val="0"/>
              <w:adjustRightInd w:val="0"/>
              <w:ind w:left="1101" w:right="1106"/>
              <w:jc w:val="center"/>
              <w:rPr>
                <w:rFonts w:ascii="Times New Roman" w:hAnsi="Times New Roman" w:cs="Times New Roman"/>
                <w:kern w:val="0"/>
                <w:sz w:val="24"/>
                <w:szCs w:val="24"/>
              </w:rPr>
            </w:pPr>
            <w:r>
              <w:rPr>
                <w:rFonts w:hint="eastAsia" w:ascii="微软雅黑" w:hAnsi="Times New Roman" w:eastAsia="微软雅黑" w:cs="微软雅黑"/>
                <w:kern w:val="0"/>
                <w:szCs w:val="21"/>
              </w:rPr>
              <w:t>单位</w:t>
            </w:r>
          </w:p>
        </w:tc>
        <w:tc>
          <w:tcPr>
            <w:tcW w:w="1229"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pacing w:before="7" w:line="140" w:lineRule="exact"/>
              <w:jc w:val="left"/>
              <w:rPr>
                <w:rFonts w:ascii="Times New Roman" w:hAnsi="Times New Roman" w:cs="Times New Roman"/>
                <w:kern w:val="0"/>
                <w:sz w:val="14"/>
                <w:szCs w:val="14"/>
              </w:rPr>
            </w:pPr>
          </w:p>
          <w:p>
            <w:pPr>
              <w:autoSpaceDE w:val="0"/>
              <w:autoSpaceDN w:val="0"/>
              <w:adjustRightInd w:val="0"/>
              <w:ind w:left="186"/>
              <w:jc w:val="left"/>
              <w:rPr>
                <w:rFonts w:ascii="Times New Roman" w:hAnsi="Times New Roman" w:cs="Times New Roman"/>
                <w:kern w:val="0"/>
                <w:sz w:val="24"/>
                <w:szCs w:val="24"/>
              </w:rPr>
            </w:pPr>
            <w:r>
              <w:rPr>
                <w:rFonts w:hint="eastAsia" w:ascii="微软雅黑" w:hAnsi="Times New Roman" w:eastAsia="微软雅黑" w:cs="微软雅黑"/>
                <w:kern w:val="0"/>
                <w:szCs w:val="21"/>
              </w:rPr>
              <w:t>采纳情况</w:t>
            </w:r>
          </w:p>
        </w:tc>
        <w:tc>
          <w:tcPr>
            <w:tcW w:w="4488"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pacing w:before="7" w:line="140" w:lineRule="exact"/>
              <w:jc w:val="left"/>
              <w:rPr>
                <w:rFonts w:ascii="Times New Roman" w:hAnsi="Times New Roman" w:cs="Times New Roman"/>
                <w:kern w:val="0"/>
                <w:sz w:val="14"/>
                <w:szCs w:val="14"/>
              </w:rPr>
            </w:pPr>
          </w:p>
          <w:p>
            <w:pPr>
              <w:autoSpaceDE w:val="0"/>
              <w:autoSpaceDN w:val="0"/>
              <w:adjustRightInd w:val="0"/>
              <w:ind w:left="1569" w:right="1569"/>
              <w:jc w:val="center"/>
              <w:rPr>
                <w:rFonts w:ascii="Times New Roman" w:hAnsi="Times New Roman" w:cs="Times New Roman"/>
                <w:kern w:val="0"/>
                <w:sz w:val="24"/>
                <w:szCs w:val="24"/>
              </w:rPr>
            </w:pPr>
            <w:r>
              <w:rPr>
                <w:rFonts w:hint="eastAsia" w:ascii="微软雅黑" w:hAnsi="Times New Roman" w:eastAsia="微软雅黑" w:cs="微软雅黑"/>
                <w:kern w:val="0"/>
                <w:szCs w:val="21"/>
              </w:rPr>
              <w:t>意见处理情况</w:t>
            </w:r>
          </w:p>
        </w:tc>
      </w:tr>
      <w:tr>
        <w:tblPrEx>
          <w:tblCellMar>
            <w:top w:w="0" w:type="dxa"/>
            <w:left w:w="0" w:type="dxa"/>
            <w:bottom w:w="0" w:type="dxa"/>
            <w:right w:w="0" w:type="dxa"/>
          </w:tblCellMar>
        </w:tblPrEx>
        <w:trPr>
          <w:trHeight w:val="1069" w:hRule="exact"/>
          <w:jc w:val="center"/>
        </w:trPr>
        <w:tc>
          <w:tcPr>
            <w:tcW w:w="851"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pacing w:before="17" w:line="240" w:lineRule="exact"/>
              <w:jc w:val="center"/>
              <w:rPr>
                <w:rFonts w:asciiTheme="minorEastAsia" w:hAnsiTheme="minorEastAsia" w:cstheme="minorEastAsia"/>
                <w:kern w:val="0"/>
                <w:sz w:val="24"/>
                <w:szCs w:val="24"/>
              </w:rPr>
            </w:pPr>
          </w:p>
          <w:p>
            <w:pPr>
              <w:autoSpaceDE w:val="0"/>
              <w:autoSpaceDN w:val="0"/>
              <w:adjustRightInd w:val="0"/>
              <w:ind w:left="222" w:right="223"/>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1</w:t>
            </w:r>
          </w:p>
        </w:tc>
        <w:tc>
          <w:tcPr>
            <w:tcW w:w="4846"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rPr>
                <w:rFonts w:asciiTheme="minorEastAsia" w:hAnsiTheme="minorEastAsia" w:cstheme="minorEastAsia"/>
                <w:sz w:val="24"/>
                <w:szCs w:val="24"/>
              </w:rPr>
            </w:pPr>
            <w:r>
              <w:rPr>
                <w:rFonts w:hint="eastAsia" w:asciiTheme="minorEastAsia" w:hAnsiTheme="minorEastAsia" w:cstheme="minorEastAsia"/>
                <w:sz w:val="24"/>
                <w:szCs w:val="24"/>
                <w:lang w:eastAsia="zh-Hans"/>
              </w:rPr>
              <w:t>5.2.6.2</w:t>
            </w:r>
            <w:r>
              <w:rPr>
                <w:rFonts w:hint="eastAsia" w:asciiTheme="minorEastAsia" w:hAnsiTheme="minorEastAsia" w:cstheme="minorEastAsia"/>
                <w:sz w:val="24"/>
                <w:szCs w:val="24"/>
              </w:rPr>
              <w:t xml:space="preserve"> </w:t>
            </w:r>
            <w:r>
              <w:rPr>
                <w:rFonts w:hint="eastAsia" w:asciiTheme="minorEastAsia" w:hAnsiTheme="minorEastAsia" w:cstheme="minorEastAsia"/>
                <w:sz w:val="24"/>
                <w:szCs w:val="24"/>
                <w:lang w:eastAsia="zh-Hans"/>
              </w:rPr>
              <w:t>含单质磷废水禁止外排，并设有符合环境影响</w:t>
            </w:r>
            <w:r>
              <w:rPr>
                <w:rFonts w:hint="eastAsia" w:asciiTheme="minorEastAsia" w:hAnsiTheme="minorEastAsia" w:cstheme="minorEastAsia"/>
                <w:sz w:val="24"/>
                <w:szCs w:val="24"/>
              </w:rPr>
              <w:t>。</w:t>
            </w:r>
          </w:p>
          <w:p>
            <w:pPr>
              <w:autoSpaceDE w:val="0"/>
              <w:autoSpaceDN w:val="0"/>
              <w:adjustRightInd w:val="0"/>
              <w:ind w:left="102"/>
              <w:rPr>
                <w:rFonts w:asciiTheme="minorEastAsia" w:hAnsiTheme="minorEastAsia" w:cstheme="minorEastAsia"/>
                <w:sz w:val="24"/>
                <w:szCs w:val="24"/>
                <w:lang w:eastAsia="zh-Hans"/>
              </w:rPr>
            </w:pPr>
            <w:r>
              <w:rPr>
                <w:rFonts w:hint="eastAsia" w:asciiTheme="minorEastAsia" w:hAnsiTheme="minorEastAsia" w:cstheme="minorEastAsia"/>
                <w:sz w:val="24"/>
                <w:szCs w:val="24"/>
                <w:lang w:eastAsia="zh-Hans"/>
              </w:rPr>
              <w:t>单质磷，应修改为“磷”。</w:t>
            </w:r>
          </w:p>
        </w:tc>
        <w:tc>
          <w:tcPr>
            <w:tcW w:w="2712"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center"/>
              <w:rPr>
                <w:rFonts w:asciiTheme="minorEastAsia" w:hAnsiTheme="minorEastAsia" w:cstheme="minorEastAsia"/>
                <w:sz w:val="24"/>
                <w:szCs w:val="24"/>
                <w:lang w:eastAsia="zh-Hans"/>
              </w:rPr>
            </w:pPr>
            <w:r>
              <w:rPr>
                <w:rFonts w:hint="eastAsia" w:asciiTheme="minorEastAsia" w:hAnsiTheme="minorEastAsia" w:cstheme="minorEastAsia"/>
                <w:kern w:val="0"/>
                <w:sz w:val="24"/>
                <w:szCs w:val="24"/>
              </w:rPr>
              <w:t>中国磷复肥工业协会</w:t>
            </w:r>
          </w:p>
        </w:tc>
        <w:tc>
          <w:tcPr>
            <w:tcW w:w="1229"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采纳</w:t>
            </w:r>
          </w:p>
        </w:tc>
        <w:tc>
          <w:tcPr>
            <w:tcW w:w="4488"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ind w:left="102"/>
              <w:rPr>
                <w:rFonts w:asciiTheme="minorEastAsia" w:hAnsiTheme="minorEastAsia" w:cstheme="minorEastAsia"/>
                <w:kern w:val="0"/>
                <w:sz w:val="24"/>
                <w:szCs w:val="24"/>
              </w:rPr>
            </w:pPr>
            <w:r>
              <w:rPr>
                <w:rFonts w:hint="eastAsia" w:asciiTheme="minorEastAsia" w:hAnsiTheme="minorEastAsia" w:cstheme="minorEastAsia"/>
                <w:sz w:val="24"/>
                <w:szCs w:val="24"/>
                <w:lang w:eastAsia="zh-Hans"/>
              </w:rPr>
              <w:t>改为“根据国家及当地法律法规要求，超标的含氮、含磷废水禁止外排，并设有符合环境影响评价要求事故处理池；”</w:t>
            </w:r>
          </w:p>
        </w:tc>
      </w:tr>
      <w:tr>
        <w:tblPrEx>
          <w:tblCellMar>
            <w:top w:w="0" w:type="dxa"/>
            <w:left w:w="0" w:type="dxa"/>
            <w:bottom w:w="0" w:type="dxa"/>
            <w:right w:w="0" w:type="dxa"/>
          </w:tblCellMar>
        </w:tblPrEx>
        <w:trPr>
          <w:trHeight w:val="2050" w:hRule="exact"/>
          <w:jc w:val="center"/>
        </w:trPr>
        <w:tc>
          <w:tcPr>
            <w:tcW w:w="851"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pacing w:before="14" w:line="240" w:lineRule="exact"/>
              <w:jc w:val="center"/>
              <w:rPr>
                <w:rFonts w:asciiTheme="minorEastAsia" w:hAnsiTheme="minorEastAsia" w:cstheme="minorEastAsia"/>
                <w:kern w:val="0"/>
                <w:sz w:val="24"/>
                <w:szCs w:val="24"/>
              </w:rPr>
            </w:pPr>
          </w:p>
          <w:p>
            <w:pPr>
              <w:autoSpaceDE w:val="0"/>
              <w:autoSpaceDN w:val="0"/>
              <w:adjustRightInd w:val="0"/>
              <w:ind w:left="222" w:right="223"/>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w:t>
            </w:r>
          </w:p>
        </w:tc>
        <w:tc>
          <w:tcPr>
            <w:tcW w:w="4846" w:type="dxa"/>
            <w:tcBorders>
              <w:top w:val="single" w:color="000000" w:sz="4" w:space="0"/>
              <w:left w:val="single" w:color="000000" w:sz="4" w:space="0"/>
              <w:bottom w:val="single" w:color="000000" w:sz="4" w:space="0"/>
              <w:right w:val="single" w:color="000000" w:sz="4" w:space="0"/>
            </w:tcBorders>
            <w:vAlign w:val="center"/>
          </w:tcPr>
          <w:p>
            <w:pPr>
              <w:pStyle w:val="10"/>
              <w:tabs>
                <w:tab w:val="left" w:pos="180"/>
              </w:tabs>
              <w:ind w:firstLine="0" w:firstLineChars="0"/>
              <w:rPr>
                <w:rFonts w:asciiTheme="minorEastAsia" w:hAnsiTheme="minorEastAsia" w:cstheme="minorEastAsia"/>
                <w:sz w:val="24"/>
                <w:szCs w:val="24"/>
                <w:lang w:eastAsia="zh-Hans"/>
              </w:rPr>
            </w:pPr>
            <w:r>
              <w:rPr>
                <w:rFonts w:hint="eastAsia" w:asciiTheme="minorEastAsia" w:hAnsiTheme="minorEastAsia" w:cstheme="minorEastAsia"/>
                <w:sz w:val="24"/>
                <w:szCs w:val="24"/>
                <w:lang w:eastAsia="zh-Hans"/>
              </w:rPr>
              <w:t>5.2.6.5应将环保设施与生产装置同等管理，同时运行、同步维护，环保设施运行控制参数纳入生产操作规程和工艺卡片。</w:t>
            </w:r>
          </w:p>
          <w:p>
            <w:pPr>
              <w:autoSpaceDE w:val="0"/>
              <w:autoSpaceDN w:val="0"/>
              <w:adjustRightInd w:val="0"/>
              <w:rPr>
                <w:rFonts w:asciiTheme="minorEastAsia" w:hAnsiTheme="minorEastAsia" w:cstheme="minorEastAsia"/>
                <w:kern w:val="0"/>
                <w:sz w:val="24"/>
                <w:szCs w:val="24"/>
              </w:rPr>
            </w:pPr>
            <w:r>
              <w:rPr>
                <w:rFonts w:hint="eastAsia" w:asciiTheme="minorEastAsia" w:hAnsiTheme="minorEastAsia" w:cstheme="minorEastAsia"/>
                <w:sz w:val="24"/>
                <w:szCs w:val="24"/>
                <w:lang w:eastAsia="zh-Hans"/>
              </w:rPr>
              <w:t>建议：卡片，应修改为“记录”（习惯上，磷复肥生产及技术管理中，工艺管理通常是没有“卡片”的，强化的主要是原始记录）。</w:t>
            </w:r>
          </w:p>
        </w:tc>
        <w:tc>
          <w:tcPr>
            <w:tcW w:w="2712"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pacing w:before="16"/>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中国磷复肥工业协会</w:t>
            </w:r>
          </w:p>
        </w:tc>
        <w:tc>
          <w:tcPr>
            <w:tcW w:w="1229"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采纳</w:t>
            </w:r>
          </w:p>
        </w:tc>
        <w:tc>
          <w:tcPr>
            <w:tcW w:w="4488"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pacing w:before="7" w:line="140" w:lineRule="exact"/>
              <w:rPr>
                <w:rFonts w:asciiTheme="minorEastAsia" w:hAnsiTheme="minorEastAsia" w:cstheme="minorEastAsia"/>
                <w:kern w:val="0"/>
                <w:sz w:val="24"/>
                <w:szCs w:val="24"/>
              </w:rPr>
            </w:pPr>
          </w:p>
          <w:p>
            <w:pPr>
              <w:autoSpaceDE w:val="0"/>
              <w:autoSpaceDN w:val="0"/>
              <w:adjustRightInd w:val="0"/>
              <w:ind w:left="102"/>
              <w:rPr>
                <w:rFonts w:asciiTheme="minorEastAsia" w:hAnsiTheme="minorEastAsia" w:cstheme="minorEastAsia"/>
                <w:kern w:val="0"/>
                <w:sz w:val="24"/>
                <w:szCs w:val="24"/>
              </w:rPr>
            </w:pPr>
            <w:r>
              <w:rPr>
                <w:rFonts w:hint="eastAsia" w:asciiTheme="minorEastAsia" w:hAnsiTheme="minorEastAsia" w:cstheme="minorEastAsia"/>
                <w:kern w:val="0"/>
                <w:sz w:val="24"/>
                <w:szCs w:val="24"/>
              </w:rPr>
              <w:t>已将“卡片”改为“记录”。</w:t>
            </w:r>
          </w:p>
        </w:tc>
      </w:tr>
      <w:tr>
        <w:tblPrEx>
          <w:tblCellMar>
            <w:top w:w="0" w:type="dxa"/>
            <w:left w:w="0" w:type="dxa"/>
            <w:bottom w:w="0" w:type="dxa"/>
            <w:right w:w="0" w:type="dxa"/>
          </w:tblCellMar>
        </w:tblPrEx>
        <w:trPr>
          <w:trHeight w:val="1229" w:hRule="exact"/>
          <w:jc w:val="center"/>
        </w:trPr>
        <w:tc>
          <w:tcPr>
            <w:tcW w:w="851"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pacing w:line="200" w:lineRule="exact"/>
              <w:jc w:val="center"/>
              <w:rPr>
                <w:rFonts w:asciiTheme="minorEastAsia" w:hAnsiTheme="minorEastAsia" w:cstheme="minorEastAsia"/>
                <w:kern w:val="0"/>
                <w:sz w:val="24"/>
                <w:szCs w:val="24"/>
              </w:rPr>
            </w:pPr>
          </w:p>
          <w:p>
            <w:pPr>
              <w:autoSpaceDE w:val="0"/>
              <w:autoSpaceDN w:val="0"/>
              <w:adjustRightInd w:val="0"/>
              <w:spacing w:before="2" w:line="240" w:lineRule="exact"/>
              <w:jc w:val="center"/>
              <w:rPr>
                <w:rFonts w:asciiTheme="minorEastAsia" w:hAnsiTheme="minorEastAsia" w:cstheme="minorEastAsia"/>
                <w:kern w:val="0"/>
                <w:sz w:val="24"/>
                <w:szCs w:val="24"/>
              </w:rPr>
            </w:pPr>
          </w:p>
          <w:p>
            <w:pPr>
              <w:autoSpaceDE w:val="0"/>
              <w:autoSpaceDN w:val="0"/>
              <w:adjustRightInd w:val="0"/>
              <w:ind w:left="222" w:right="223"/>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3</w:t>
            </w:r>
          </w:p>
        </w:tc>
        <w:tc>
          <w:tcPr>
            <w:tcW w:w="4846" w:type="dxa"/>
            <w:tcBorders>
              <w:top w:val="single" w:color="000000" w:sz="4" w:space="0"/>
              <w:left w:val="single" w:color="000000" w:sz="4" w:space="0"/>
              <w:bottom w:val="single" w:color="000000" w:sz="4" w:space="0"/>
              <w:right w:val="single" w:color="000000" w:sz="4" w:space="0"/>
            </w:tcBorders>
            <w:vAlign w:val="center"/>
          </w:tcPr>
          <w:p>
            <w:pPr>
              <w:pStyle w:val="10"/>
              <w:tabs>
                <w:tab w:val="left" w:pos="180"/>
              </w:tabs>
              <w:ind w:firstLine="0" w:firstLineChars="0"/>
              <w:rPr>
                <w:rFonts w:asciiTheme="minorEastAsia" w:hAnsiTheme="minorEastAsia" w:cstheme="minorEastAsia"/>
                <w:sz w:val="24"/>
                <w:szCs w:val="24"/>
                <w:lang w:eastAsia="zh-Hans"/>
              </w:rPr>
            </w:pPr>
            <w:r>
              <w:rPr>
                <w:rFonts w:hint="eastAsia" w:asciiTheme="minorEastAsia" w:hAnsiTheme="minorEastAsia" w:cstheme="minorEastAsia"/>
                <w:sz w:val="24"/>
                <w:szCs w:val="24"/>
                <w:lang w:eastAsia="zh-Hans"/>
              </w:rPr>
              <w:t>5.4.1.8应对系统中有回收价值的余热余压进行回收利用。</w:t>
            </w:r>
          </w:p>
          <w:p>
            <w:pPr>
              <w:pStyle w:val="10"/>
              <w:tabs>
                <w:tab w:val="left" w:pos="180"/>
              </w:tabs>
              <w:ind w:firstLine="0" w:firstLineChars="0"/>
              <w:rPr>
                <w:rFonts w:asciiTheme="minorEastAsia" w:hAnsiTheme="minorEastAsia" w:cstheme="minorEastAsia"/>
                <w:kern w:val="0"/>
                <w:sz w:val="24"/>
                <w:szCs w:val="24"/>
              </w:rPr>
            </w:pPr>
            <w:r>
              <w:rPr>
                <w:rFonts w:hint="eastAsia" w:asciiTheme="minorEastAsia" w:hAnsiTheme="minorEastAsia" w:cstheme="minorEastAsia"/>
                <w:sz w:val="24"/>
                <w:szCs w:val="24"/>
                <w:lang w:eastAsia="zh-Hans"/>
              </w:rPr>
              <w:t>建议：余压，应修改为“等能源”。</w:t>
            </w:r>
          </w:p>
        </w:tc>
        <w:tc>
          <w:tcPr>
            <w:tcW w:w="2712"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pacing w:before="4" w:line="130" w:lineRule="exact"/>
              <w:jc w:val="center"/>
              <w:rPr>
                <w:rFonts w:asciiTheme="minorEastAsia" w:hAnsiTheme="minorEastAsia" w:cstheme="minorEastAsia"/>
                <w:kern w:val="0"/>
                <w:sz w:val="24"/>
                <w:szCs w:val="24"/>
              </w:rPr>
            </w:pPr>
          </w:p>
          <w:p>
            <w:pPr>
              <w:autoSpaceDE w:val="0"/>
              <w:autoSpaceDN w:val="0"/>
              <w:adjustRightInd w:val="0"/>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中国磷复肥工业协会</w:t>
            </w:r>
          </w:p>
        </w:tc>
        <w:tc>
          <w:tcPr>
            <w:tcW w:w="1229"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采纳</w:t>
            </w:r>
          </w:p>
        </w:tc>
        <w:tc>
          <w:tcPr>
            <w:tcW w:w="4488"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pacing w:before="7" w:line="140" w:lineRule="exact"/>
              <w:rPr>
                <w:rFonts w:asciiTheme="minorEastAsia" w:hAnsiTheme="minorEastAsia" w:cstheme="minorEastAsia"/>
                <w:kern w:val="0"/>
                <w:sz w:val="24"/>
                <w:szCs w:val="24"/>
              </w:rPr>
            </w:pPr>
          </w:p>
          <w:p>
            <w:pPr>
              <w:autoSpaceDE w:val="0"/>
              <w:autoSpaceDN w:val="0"/>
              <w:adjustRightInd w:val="0"/>
              <w:spacing w:line="250" w:lineRule="auto"/>
              <w:ind w:left="102" w:right="44"/>
              <w:rPr>
                <w:rFonts w:asciiTheme="minorEastAsia" w:hAnsiTheme="minorEastAsia" w:cstheme="minorEastAsia"/>
                <w:kern w:val="0"/>
                <w:sz w:val="24"/>
                <w:szCs w:val="24"/>
              </w:rPr>
            </w:pPr>
            <w:r>
              <w:rPr>
                <w:rFonts w:hint="eastAsia" w:asciiTheme="minorEastAsia" w:hAnsiTheme="minorEastAsia" w:cstheme="minorEastAsia"/>
                <w:spacing w:val="2"/>
                <w:kern w:val="0"/>
                <w:sz w:val="24"/>
                <w:szCs w:val="24"/>
              </w:rPr>
              <w:t>已修改。</w:t>
            </w:r>
          </w:p>
        </w:tc>
      </w:tr>
      <w:tr>
        <w:tblPrEx>
          <w:tblCellMar>
            <w:top w:w="0" w:type="dxa"/>
            <w:left w:w="0" w:type="dxa"/>
            <w:bottom w:w="0" w:type="dxa"/>
            <w:right w:w="0" w:type="dxa"/>
          </w:tblCellMar>
        </w:tblPrEx>
        <w:trPr>
          <w:trHeight w:val="1526" w:hRule="exact"/>
          <w:jc w:val="center"/>
        </w:trPr>
        <w:tc>
          <w:tcPr>
            <w:tcW w:w="851"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pacing w:before="14" w:line="240" w:lineRule="exact"/>
              <w:jc w:val="center"/>
              <w:rPr>
                <w:rFonts w:asciiTheme="minorEastAsia" w:hAnsiTheme="minorEastAsia" w:cstheme="minorEastAsia"/>
                <w:sz w:val="24"/>
                <w:szCs w:val="24"/>
                <w:lang w:eastAsia="zh-Hans"/>
              </w:rPr>
            </w:pPr>
          </w:p>
          <w:p>
            <w:pPr>
              <w:autoSpaceDE w:val="0"/>
              <w:autoSpaceDN w:val="0"/>
              <w:adjustRightInd w:val="0"/>
              <w:ind w:left="222" w:right="223"/>
              <w:jc w:val="center"/>
              <w:rPr>
                <w:rFonts w:asciiTheme="minorEastAsia" w:hAnsiTheme="minorEastAsia" w:cstheme="minorEastAsia"/>
                <w:sz w:val="24"/>
                <w:szCs w:val="24"/>
                <w:lang w:eastAsia="zh-Hans"/>
              </w:rPr>
            </w:pPr>
            <w:r>
              <w:rPr>
                <w:rFonts w:hint="eastAsia" w:asciiTheme="minorEastAsia" w:hAnsiTheme="minorEastAsia" w:cstheme="minorEastAsia"/>
                <w:sz w:val="24"/>
                <w:szCs w:val="24"/>
                <w:lang w:eastAsia="zh-Hans"/>
              </w:rPr>
              <w:t>4</w:t>
            </w:r>
          </w:p>
        </w:tc>
        <w:tc>
          <w:tcPr>
            <w:tcW w:w="4846" w:type="dxa"/>
            <w:tcBorders>
              <w:top w:val="single" w:color="000000" w:sz="4" w:space="0"/>
              <w:left w:val="single" w:color="000000" w:sz="4" w:space="0"/>
              <w:bottom w:val="single" w:color="000000" w:sz="4" w:space="0"/>
              <w:right w:val="single" w:color="000000" w:sz="4" w:space="0"/>
            </w:tcBorders>
            <w:vAlign w:val="center"/>
          </w:tcPr>
          <w:p>
            <w:pPr>
              <w:pStyle w:val="10"/>
              <w:tabs>
                <w:tab w:val="left" w:pos="180"/>
              </w:tabs>
              <w:adjustRightInd w:val="0"/>
              <w:snapToGrid w:val="0"/>
              <w:ind w:firstLine="0" w:firstLineChars="0"/>
              <w:rPr>
                <w:rFonts w:asciiTheme="minorEastAsia" w:hAnsiTheme="minorEastAsia" w:cstheme="minorEastAsia"/>
                <w:sz w:val="24"/>
                <w:szCs w:val="24"/>
                <w:lang w:eastAsia="zh-Hans"/>
              </w:rPr>
            </w:pPr>
            <w:r>
              <w:rPr>
                <w:rFonts w:hint="eastAsia" w:asciiTheme="minorEastAsia" w:hAnsiTheme="minorEastAsia" w:cstheme="minorEastAsia"/>
                <w:sz w:val="24"/>
                <w:szCs w:val="24"/>
                <w:lang w:eastAsia="zh-Hans"/>
              </w:rPr>
              <w:t>5.6.3.4 固体废物应在厂区处理处置，综合利用，利用处置过程应防止二</w:t>
            </w:r>
            <w:r>
              <w:rPr>
                <w:rFonts w:hint="eastAsia"/>
                <w:lang w:eastAsia="zh-Hans"/>
              </w:rPr>
              <w:t>次污染。</w:t>
            </w:r>
          </w:p>
          <w:p>
            <w:pPr>
              <w:autoSpaceDE w:val="0"/>
              <w:autoSpaceDN w:val="0"/>
              <w:adjustRightInd w:val="0"/>
              <w:snapToGrid w:val="0"/>
              <w:rPr>
                <w:rFonts w:asciiTheme="minorEastAsia" w:hAnsiTheme="minorEastAsia" w:cstheme="minorEastAsia"/>
                <w:sz w:val="24"/>
                <w:szCs w:val="24"/>
                <w:lang w:eastAsia="zh-Hans"/>
              </w:rPr>
            </w:pPr>
            <w:r>
              <w:rPr>
                <w:rFonts w:hint="eastAsia" w:asciiTheme="minorEastAsia" w:hAnsiTheme="minorEastAsia" w:cstheme="minorEastAsia"/>
                <w:sz w:val="24"/>
                <w:szCs w:val="24"/>
                <w:lang w:eastAsia="zh-Hans"/>
              </w:rPr>
              <w:t>建议：在厂区，应修改为“就地”。</w:t>
            </w:r>
          </w:p>
        </w:tc>
        <w:tc>
          <w:tcPr>
            <w:tcW w:w="2712"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中国磷复肥工业协会</w:t>
            </w:r>
          </w:p>
        </w:tc>
        <w:tc>
          <w:tcPr>
            <w:tcW w:w="1229"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采纳</w:t>
            </w:r>
          </w:p>
        </w:tc>
        <w:tc>
          <w:tcPr>
            <w:tcW w:w="4488"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pacing w:before="16"/>
              <w:ind w:left="102"/>
              <w:rPr>
                <w:rFonts w:asciiTheme="minorEastAsia" w:hAnsiTheme="minorEastAsia" w:cstheme="minorEastAsia"/>
                <w:kern w:val="0"/>
                <w:sz w:val="24"/>
                <w:szCs w:val="24"/>
              </w:rPr>
            </w:pPr>
            <w:r>
              <w:rPr>
                <w:rFonts w:hint="eastAsia" w:asciiTheme="minorEastAsia" w:hAnsiTheme="minorEastAsia" w:cstheme="minorEastAsia"/>
                <w:kern w:val="0"/>
                <w:sz w:val="24"/>
                <w:szCs w:val="24"/>
              </w:rPr>
              <w:t>已做文字修改</w:t>
            </w:r>
          </w:p>
        </w:tc>
      </w:tr>
      <w:tr>
        <w:tblPrEx>
          <w:tblCellMar>
            <w:top w:w="0" w:type="dxa"/>
            <w:left w:w="0" w:type="dxa"/>
            <w:bottom w:w="0" w:type="dxa"/>
            <w:right w:w="0" w:type="dxa"/>
          </w:tblCellMar>
        </w:tblPrEx>
        <w:trPr>
          <w:trHeight w:val="994" w:hRule="exact"/>
          <w:jc w:val="center"/>
        </w:trPr>
        <w:tc>
          <w:tcPr>
            <w:tcW w:w="851"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pacing w:before="1" w:line="240" w:lineRule="exact"/>
              <w:rPr>
                <w:rFonts w:asciiTheme="minorEastAsia" w:hAnsiTheme="minorEastAsia" w:cstheme="minorEastAsia"/>
                <w:kern w:val="0"/>
                <w:sz w:val="24"/>
                <w:szCs w:val="24"/>
              </w:rPr>
            </w:pPr>
          </w:p>
          <w:p>
            <w:pPr>
              <w:autoSpaceDE w:val="0"/>
              <w:autoSpaceDN w:val="0"/>
              <w:adjustRightInd w:val="0"/>
              <w:ind w:left="222" w:right="223"/>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5</w:t>
            </w:r>
          </w:p>
        </w:tc>
        <w:tc>
          <w:tcPr>
            <w:tcW w:w="4846" w:type="dxa"/>
            <w:tcBorders>
              <w:top w:val="single" w:color="000000" w:sz="4" w:space="0"/>
              <w:left w:val="single" w:color="000000" w:sz="4" w:space="0"/>
              <w:bottom w:val="single" w:color="000000" w:sz="4" w:space="0"/>
              <w:right w:val="single" w:color="000000" w:sz="4" w:space="0"/>
            </w:tcBorders>
            <w:vAlign w:val="center"/>
          </w:tcPr>
          <w:p>
            <w:pPr>
              <w:pStyle w:val="10"/>
              <w:tabs>
                <w:tab w:val="left" w:pos="180"/>
              </w:tabs>
              <w:ind w:firstLine="0" w:firstLineChars="0"/>
              <w:rPr>
                <w:rFonts w:asciiTheme="minorEastAsia" w:hAnsiTheme="minorEastAsia" w:cstheme="minorEastAsia"/>
                <w:kern w:val="0"/>
                <w:sz w:val="24"/>
                <w:szCs w:val="24"/>
              </w:rPr>
            </w:pPr>
            <w:r>
              <w:rPr>
                <w:rFonts w:hint="eastAsia" w:asciiTheme="minorEastAsia" w:hAnsiTheme="minorEastAsia" w:cstheme="minorEastAsia"/>
                <w:sz w:val="24"/>
                <w:szCs w:val="24"/>
              </w:rPr>
              <w:t>5.7.3.1大气污染物种类和限制建议扩大征求意见。</w:t>
            </w:r>
          </w:p>
        </w:tc>
        <w:tc>
          <w:tcPr>
            <w:tcW w:w="2712"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pacing w:line="250" w:lineRule="auto"/>
              <w:ind w:right="50"/>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中国磷复肥工业协会</w:t>
            </w:r>
          </w:p>
        </w:tc>
        <w:tc>
          <w:tcPr>
            <w:tcW w:w="1229"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采纳</w:t>
            </w:r>
          </w:p>
        </w:tc>
        <w:tc>
          <w:tcPr>
            <w:tcW w:w="4488"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pacing w:before="16" w:line="250" w:lineRule="auto"/>
              <w:ind w:right="116"/>
              <w:rPr>
                <w:rFonts w:asciiTheme="minorEastAsia" w:hAnsiTheme="minorEastAsia" w:cstheme="minorEastAsia"/>
                <w:kern w:val="0"/>
                <w:sz w:val="24"/>
                <w:szCs w:val="24"/>
              </w:rPr>
            </w:pPr>
            <w:r>
              <w:rPr>
                <w:rFonts w:hint="eastAsia" w:asciiTheme="minorEastAsia" w:hAnsiTheme="minorEastAsia" w:cstheme="minorEastAsia"/>
                <w:sz w:val="24"/>
                <w:szCs w:val="24"/>
              </w:rPr>
              <w:t>将继续征求更多相关企业意见，最终确保指标、数值更完整、科学、准确。</w:t>
            </w:r>
          </w:p>
        </w:tc>
      </w:tr>
      <w:tr>
        <w:tblPrEx>
          <w:tblCellMar>
            <w:top w:w="0" w:type="dxa"/>
            <w:left w:w="0" w:type="dxa"/>
            <w:bottom w:w="0" w:type="dxa"/>
            <w:right w:w="0" w:type="dxa"/>
          </w:tblCellMar>
        </w:tblPrEx>
        <w:trPr>
          <w:trHeight w:val="994" w:hRule="exact"/>
          <w:jc w:val="center"/>
        </w:trPr>
        <w:tc>
          <w:tcPr>
            <w:tcW w:w="851"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ind w:left="222" w:right="223"/>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6</w:t>
            </w:r>
          </w:p>
        </w:tc>
        <w:tc>
          <w:tcPr>
            <w:tcW w:w="4846" w:type="dxa"/>
            <w:tcBorders>
              <w:top w:val="single" w:color="000000" w:sz="4" w:space="0"/>
              <w:left w:val="single" w:color="000000" w:sz="4" w:space="0"/>
              <w:bottom w:val="single" w:color="000000" w:sz="4" w:space="0"/>
              <w:right w:val="single" w:color="000000" w:sz="4" w:space="0"/>
            </w:tcBorders>
            <w:vAlign w:val="center"/>
          </w:tcPr>
          <w:p>
            <w:pPr>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5.7.3.1建议表1中的传统法磷酸二铵颗粒物由“90”改“300”。</w:t>
            </w:r>
          </w:p>
        </w:tc>
        <w:tc>
          <w:tcPr>
            <w:tcW w:w="2712"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pacing w:line="250" w:lineRule="auto"/>
              <w:ind w:right="50"/>
              <w:jc w:val="center"/>
              <w:rPr>
                <w:rFonts w:asciiTheme="minorEastAsia" w:hAnsiTheme="minorEastAsia" w:cstheme="minorEastAsia"/>
                <w:sz w:val="24"/>
                <w:szCs w:val="24"/>
                <w:u w:val="single"/>
                <w:lang w:eastAsia="zh-Hans"/>
              </w:rPr>
            </w:pPr>
            <w:r>
              <w:rPr>
                <w:rFonts w:hint="eastAsia" w:asciiTheme="minorEastAsia" w:hAnsiTheme="minorEastAsia" w:cstheme="minorEastAsia"/>
                <w:sz w:val="24"/>
                <w:szCs w:val="24"/>
              </w:rPr>
              <w:t>贵州磷化（集团）有限责任公司</w:t>
            </w:r>
          </w:p>
        </w:tc>
        <w:tc>
          <w:tcPr>
            <w:tcW w:w="1229"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ind w:left="102"/>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采纳</w:t>
            </w:r>
          </w:p>
        </w:tc>
        <w:tc>
          <w:tcPr>
            <w:tcW w:w="4488"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pacing w:before="16" w:line="250" w:lineRule="auto"/>
              <w:ind w:right="116"/>
              <w:jc w:val="center"/>
              <w:rPr>
                <w:rFonts w:asciiTheme="minorEastAsia" w:hAnsiTheme="minorEastAsia" w:cstheme="minorEastAsia"/>
                <w:sz w:val="24"/>
                <w:szCs w:val="24"/>
              </w:rPr>
            </w:pPr>
            <w:r>
              <w:rPr>
                <w:rFonts w:hint="eastAsia" w:asciiTheme="minorEastAsia" w:hAnsiTheme="minorEastAsia" w:cstheme="minorEastAsia"/>
                <w:sz w:val="24"/>
                <w:szCs w:val="24"/>
              </w:rPr>
              <w:t>待征求更多行业内企业意见后，再进行合理调整。</w:t>
            </w:r>
          </w:p>
        </w:tc>
      </w:tr>
      <w:tr>
        <w:tblPrEx>
          <w:tblCellMar>
            <w:top w:w="0" w:type="dxa"/>
            <w:left w:w="0" w:type="dxa"/>
            <w:bottom w:w="0" w:type="dxa"/>
            <w:right w:w="0" w:type="dxa"/>
          </w:tblCellMar>
        </w:tblPrEx>
        <w:trPr>
          <w:trHeight w:val="994" w:hRule="exact"/>
          <w:jc w:val="center"/>
        </w:trPr>
        <w:tc>
          <w:tcPr>
            <w:tcW w:w="851"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ind w:left="222" w:right="223"/>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7</w:t>
            </w:r>
          </w:p>
        </w:tc>
        <w:tc>
          <w:tcPr>
            <w:tcW w:w="4846" w:type="dxa"/>
            <w:tcBorders>
              <w:top w:val="single" w:color="000000" w:sz="4" w:space="0"/>
              <w:left w:val="single" w:color="000000" w:sz="4" w:space="0"/>
              <w:bottom w:val="single" w:color="000000" w:sz="4" w:space="0"/>
              <w:right w:val="single" w:color="000000" w:sz="4" w:space="0"/>
            </w:tcBorders>
            <w:vAlign w:val="center"/>
          </w:tcPr>
          <w:p>
            <w:pPr>
              <w:rPr>
                <w:rFonts w:asciiTheme="minorEastAsia" w:hAnsiTheme="minorEastAsia" w:cstheme="minorEastAsia"/>
                <w:kern w:val="0"/>
                <w:sz w:val="24"/>
                <w:szCs w:val="24"/>
              </w:rPr>
            </w:pPr>
            <w:r>
              <w:rPr>
                <w:rFonts w:hint="eastAsia" w:asciiTheme="minorEastAsia" w:hAnsiTheme="minorEastAsia" w:cstheme="minorEastAsia"/>
                <w:kern w:val="0"/>
                <w:sz w:val="24"/>
                <w:szCs w:val="24"/>
              </w:rPr>
              <w:t>5.7.3.1建议表1中的料浆法磷酸一铵吨磷铵主要大气污染物排放限值放宽。</w:t>
            </w:r>
          </w:p>
        </w:tc>
        <w:tc>
          <w:tcPr>
            <w:tcW w:w="2712"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pacing w:line="250" w:lineRule="auto"/>
              <w:ind w:right="50"/>
              <w:jc w:val="center"/>
              <w:rPr>
                <w:rFonts w:asciiTheme="minorEastAsia" w:hAnsiTheme="minorEastAsia" w:cstheme="minorEastAsia"/>
                <w:sz w:val="24"/>
                <w:szCs w:val="24"/>
                <w:u w:val="single"/>
                <w:lang w:eastAsia="zh-Hans"/>
              </w:rPr>
            </w:pPr>
            <w:r>
              <w:rPr>
                <w:rFonts w:hint="eastAsia" w:asciiTheme="minorEastAsia" w:hAnsiTheme="minorEastAsia" w:cstheme="minorEastAsia"/>
                <w:sz w:val="24"/>
                <w:szCs w:val="24"/>
              </w:rPr>
              <w:t>贵州磷化（集团）有限责任公司</w:t>
            </w:r>
          </w:p>
        </w:tc>
        <w:tc>
          <w:tcPr>
            <w:tcW w:w="1229"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ind w:left="102"/>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采纳</w:t>
            </w:r>
          </w:p>
        </w:tc>
        <w:tc>
          <w:tcPr>
            <w:tcW w:w="4488"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pacing w:before="16" w:line="250" w:lineRule="auto"/>
              <w:ind w:right="116"/>
              <w:jc w:val="center"/>
              <w:rPr>
                <w:rFonts w:asciiTheme="minorEastAsia" w:hAnsiTheme="minorEastAsia" w:cstheme="minorEastAsia"/>
                <w:sz w:val="24"/>
                <w:szCs w:val="24"/>
              </w:rPr>
            </w:pPr>
            <w:r>
              <w:rPr>
                <w:rFonts w:hint="eastAsia" w:asciiTheme="minorEastAsia" w:hAnsiTheme="minorEastAsia" w:cstheme="minorEastAsia"/>
                <w:sz w:val="24"/>
                <w:szCs w:val="24"/>
              </w:rPr>
              <w:t>待征求更多行业内企业意见后，再进行合理调整。</w:t>
            </w:r>
          </w:p>
        </w:tc>
      </w:tr>
      <w:tr>
        <w:tblPrEx>
          <w:tblCellMar>
            <w:top w:w="0" w:type="dxa"/>
            <w:left w:w="0" w:type="dxa"/>
            <w:bottom w:w="0" w:type="dxa"/>
            <w:right w:w="0" w:type="dxa"/>
          </w:tblCellMar>
        </w:tblPrEx>
        <w:trPr>
          <w:trHeight w:val="994" w:hRule="exact"/>
          <w:jc w:val="center"/>
        </w:trPr>
        <w:tc>
          <w:tcPr>
            <w:tcW w:w="851"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ind w:left="222" w:right="223"/>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8</w:t>
            </w:r>
          </w:p>
        </w:tc>
        <w:tc>
          <w:tcPr>
            <w:tcW w:w="4846" w:type="dxa"/>
            <w:tcBorders>
              <w:top w:val="single" w:color="000000" w:sz="4" w:space="0"/>
              <w:left w:val="single" w:color="000000" w:sz="4" w:space="0"/>
              <w:bottom w:val="single" w:color="000000" w:sz="4" w:space="0"/>
              <w:right w:val="single" w:color="000000" w:sz="4" w:space="0"/>
            </w:tcBorders>
            <w:vAlign w:val="center"/>
          </w:tcPr>
          <w:p>
            <w:pPr>
              <w:rPr>
                <w:rFonts w:asciiTheme="minorEastAsia" w:hAnsiTheme="minorEastAsia" w:cstheme="minorEastAsia"/>
                <w:kern w:val="0"/>
                <w:sz w:val="24"/>
                <w:szCs w:val="24"/>
              </w:rPr>
            </w:pPr>
            <w:r>
              <w:rPr>
                <w:rFonts w:hint="eastAsia" w:asciiTheme="minorEastAsia" w:hAnsiTheme="minorEastAsia" w:cstheme="minorEastAsia"/>
                <w:kern w:val="0"/>
                <w:sz w:val="24"/>
                <w:szCs w:val="24"/>
              </w:rPr>
              <w:t>5.7.4.1建议调整表2中的传统法磷酸二铵及料浆法磷酸一铵生产原料损耗率为：氮≤2.5%，五氧化二磷≤2%。</w:t>
            </w:r>
          </w:p>
        </w:tc>
        <w:tc>
          <w:tcPr>
            <w:tcW w:w="2712"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pacing w:line="250" w:lineRule="auto"/>
              <w:ind w:right="50"/>
              <w:jc w:val="center"/>
              <w:rPr>
                <w:rFonts w:asciiTheme="minorEastAsia" w:hAnsiTheme="minorEastAsia" w:cstheme="minorEastAsia"/>
                <w:sz w:val="24"/>
                <w:szCs w:val="24"/>
                <w:u w:val="single"/>
              </w:rPr>
            </w:pPr>
            <w:r>
              <w:rPr>
                <w:rFonts w:hint="eastAsia" w:asciiTheme="minorEastAsia" w:hAnsiTheme="minorEastAsia" w:cstheme="minorEastAsia"/>
                <w:sz w:val="24"/>
                <w:szCs w:val="24"/>
              </w:rPr>
              <w:t>贵州磷化（集团）有限责任公司</w:t>
            </w:r>
          </w:p>
        </w:tc>
        <w:tc>
          <w:tcPr>
            <w:tcW w:w="1229"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ind w:left="102"/>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采纳</w:t>
            </w:r>
          </w:p>
        </w:tc>
        <w:tc>
          <w:tcPr>
            <w:tcW w:w="4488"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pacing w:before="16" w:line="250" w:lineRule="auto"/>
              <w:ind w:right="116"/>
              <w:jc w:val="center"/>
              <w:rPr>
                <w:rFonts w:asciiTheme="minorEastAsia" w:hAnsiTheme="minorEastAsia" w:cstheme="minorEastAsia"/>
                <w:sz w:val="24"/>
                <w:szCs w:val="24"/>
              </w:rPr>
            </w:pPr>
            <w:r>
              <w:rPr>
                <w:rFonts w:hint="eastAsia" w:asciiTheme="minorEastAsia" w:hAnsiTheme="minorEastAsia" w:cstheme="minorEastAsia"/>
                <w:sz w:val="24"/>
                <w:szCs w:val="24"/>
              </w:rPr>
              <w:t>待征求更多行业内企业意见后，再进行合理调整。</w:t>
            </w:r>
          </w:p>
        </w:tc>
      </w:tr>
      <w:tr>
        <w:tblPrEx>
          <w:tblCellMar>
            <w:top w:w="0" w:type="dxa"/>
            <w:left w:w="0" w:type="dxa"/>
            <w:bottom w:w="0" w:type="dxa"/>
            <w:right w:w="0" w:type="dxa"/>
          </w:tblCellMar>
        </w:tblPrEx>
        <w:trPr>
          <w:trHeight w:val="1338" w:hRule="exact"/>
          <w:jc w:val="center"/>
        </w:trPr>
        <w:tc>
          <w:tcPr>
            <w:tcW w:w="851"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ind w:left="222" w:right="223"/>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9</w:t>
            </w:r>
          </w:p>
        </w:tc>
        <w:tc>
          <w:tcPr>
            <w:tcW w:w="4846" w:type="dxa"/>
            <w:tcBorders>
              <w:top w:val="single" w:color="000000" w:sz="4" w:space="0"/>
              <w:left w:val="single" w:color="000000" w:sz="4" w:space="0"/>
              <w:bottom w:val="single" w:color="000000" w:sz="4" w:space="0"/>
              <w:right w:val="single" w:color="000000" w:sz="4" w:space="0"/>
            </w:tcBorders>
            <w:vAlign w:val="center"/>
          </w:tcPr>
          <w:p>
            <w:pPr>
              <w:rPr>
                <w:rFonts w:asciiTheme="minorEastAsia" w:hAnsiTheme="minorEastAsia" w:cstheme="minorEastAsia"/>
                <w:kern w:val="0"/>
                <w:sz w:val="24"/>
                <w:szCs w:val="24"/>
              </w:rPr>
            </w:pPr>
            <w:r>
              <w:rPr>
                <w:rFonts w:hint="eastAsia" w:asciiTheme="minorEastAsia" w:hAnsiTheme="minorEastAsia" w:cstheme="minorEastAsia"/>
                <w:kern w:val="0"/>
                <w:sz w:val="24"/>
                <w:szCs w:val="24"/>
              </w:rPr>
              <w:t>5.7.5.1建议调整表3中的单位产品综合能耗（kgce/t）为：传统法磷酸二铵 限定值300，准入值275，先进值250；料浆法磷酸一铵 限定值200，准入值185，先进值165。</w:t>
            </w:r>
          </w:p>
        </w:tc>
        <w:tc>
          <w:tcPr>
            <w:tcW w:w="2712"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pacing w:line="250" w:lineRule="auto"/>
              <w:ind w:right="50"/>
              <w:jc w:val="center"/>
              <w:rPr>
                <w:rFonts w:asciiTheme="minorEastAsia" w:hAnsiTheme="minorEastAsia" w:cstheme="minorEastAsia"/>
                <w:sz w:val="24"/>
                <w:szCs w:val="24"/>
                <w:u w:val="single"/>
              </w:rPr>
            </w:pPr>
            <w:r>
              <w:rPr>
                <w:rFonts w:hint="eastAsia" w:asciiTheme="minorEastAsia" w:hAnsiTheme="minorEastAsia" w:cstheme="minorEastAsia"/>
                <w:sz w:val="24"/>
                <w:szCs w:val="24"/>
              </w:rPr>
              <w:t>贵州磷化（集团）有限责任公司</w:t>
            </w:r>
          </w:p>
        </w:tc>
        <w:tc>
          <w:tcPr>
            <w:tcW w:w="1229"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ind w:left="102"/>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采纳</w:t>
            </w:r>
          </w:p>
        </w:tc>
        <w:tc>
          <w:tcPr>
            <w:tcW w:w="4488"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pacing w:before="16" w:line="250" w:lineRule="auto"/>
              <w:ind w:right="116"/>
              <w:jc w:val="center"/>
              <w:rPr>
                <w:rFonts w:asciiTheme="minorEastAsia" w:hAnsiTheme="minorEastAsia" w:cstheme="minorEastAsia"/>
                <w:sz w:val="24"/>
                <w:szCs w:val="24"/>
              </w:rPr>
            </w:pPr>
            <w:r>
              <w:rPr>
                <w:rFonts w:hint="eastAsia" w:asciiTheme="minorEastAsia" w:hAnsiTheme="minorEastAsia" w:cstheme="minorEastAsia"/>
                <w:sz w:val="24"/>
                <w:szCs w:val="24"/>
              </w:rPr>
              <w:t>待征求更多行业内企业意见后，再进行合理调整。</w:t>
            </w:r>
          </w:p>
        </w:tc>
      </w:tr>
      <w:tr>
        <w:tblPrEx>
          <w:tblCellMar>
            <w:top w:w="0" w:type="dxa"/>
            <w:left w:w="0" w:type="dxa"/>
            <w:bottom w:w="0" w:type="dxa"/>
            <w:right w:w="0" w:type="dxa"/>
          </w:tblCellMar>
        </w:tblPrEx>
        <w:trPr>
          <w:trHeight w:val="994" w:hRule="exact"/>
          <w:jc w:val="center"/>
        </w:trPr>
        <w:tc>
          <w:tcPr>
            <w:tcW w:w="851"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ind w:left="222" w:right="223"/>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10</w:t>
            </w:r>
          </w:p>
        </w:tc>
        <w:tc>
          <w:tcPr>
            <w:tcW w:w="4846" w:type="dxa"/>
            <w:tcBorders>
              <w:top w:val="single" w:color="000000" w:sz="4" w:space="0"/>
              <w:left w:val="single" w:color="000000" w:sz="4" w:space="0"/>
              <w:bottom w:val="single" w:color="000000" w:sz="4" w:space="0"/>
              <w:right w:val="single" w:color="000000" w:sz="4" w:space="0"/>
            </w:tcBorders>
            <w:vAlign w:val="center"/>
          </w:tcPr>
          <w:p>
            <w:pPr>
              <w:rPr>
                <w:rFonts w:asciiTheme="minorEastAsia" w:hAnsiTheme="minorEastAsia" w:cstheme="minorEastAsia"/>
                <w:kern w:val="0"/>
                <w:sz w:val="24"/>
                <w:szCs w:val="24"/>
              </w:rPr>
            </w:pPr>
            <w:r>
              <w:rPr>
                <w:rFonts w:hint="eastAsia" w:asciiTheme="minorEastAsia" w:hAnsiTheme="minorEastAsia" w:cstheme="minorEastAsia"/>
                <w:kern w:val="0"/>
                <w:sz w:val="24"/>
                <w:szCs w:val="24"/>
              </w:rPr>
              <w:t>5.7.5.2建议调整表4中的磷铵单位产品碳排放量（kgeCO2/t）为：传统法磷酸二铵950；料浆法磷酸一铵800。</w:t>
            </w:r>
          </w:p>
        </w:tc>
        <w:tc>
          <w:tcPr>
            <w:tcW w:w="2712"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pacing w:line="250" w:lineRule="auto"/>
              <w:ind w:right="50"/>
              <w:jc w:val="center"/>
              <w:rPr>
                <w:rFonts w:asciiTheme="minorEastAsia" w:hAnsiTheme="minorEastAsia" w:cstheme="minorEastAsia"/>
                <w:sz w:val="24"/>
                <w:szCs w:val="24"/>
                <w:u w:val="single"/>
              </w:rPr>
            </w:pPr>
            <w:r>
              <w:rPr>
                <w:rFonts w:hint="eastAsia" w:asciiTheme="minorEastAsia" w:hAnsiTheme="minorEastAsia" w:cstheme="minorEastAsia"/>
                <w:sz w:val="24"/>
                <w:szCs w:val="24"/>
              </w:rPr>
              <w:t>贵州磷化（集团）有限责任公司</w:t>
            </w:r>
          </w:p>
        </w:tc>
        <w:tc>
          <w:tcPr>
            <w:tcW w:w="1229"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ind w:left="102"/>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采纳</w:t>
            </w:r>
          </w:p>
        </w:tc>
        <w:tc>
          <w:tcPr>
            <w:tcW w:w="4488"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pacing w:before="16" w:line="250" w:lineRule="auto"/>
              <w:ind w:right="116"/>
              <w:jc w:val="center"/>
              <w:rPr>
                <w:rFonts w:asciiTheme="minorEastAsia" w:hAnsiTheme="minorEastAsia" w:cstheme="minorEastAsia"/>
                <w:sz w:val="24"/>
                <w:szCs w:val="24"/>
              </w:rPr>
            </w:pPr>
            <w:r>
              <w:rPr>
                <w:rFonts w:hint="eastAsia" w:asciiTheme="minorEastAsia" w:hAnsiTheme="minorEastAsia" w:cstheme="minorEastAsia"/>
                <w:sz w:val="24"/>
                <w:szCs w:val="24"/>
              </w:rPr>
              <w:t>待征求更多行业内企业意见后，再进行合理调整。</w:t>
            </w:r>
          </w:p>
        </w:tc>
      </w:tr>
      <w:tr>
        <w:tblPrEx>
          <w:tblCellMar>
            <w:top w:w="0" w:type="dxa"/>
            <w:left w:w="0" w:type="dxa"/>
            <w:bottom w:w="0" w:type="dxa"/>
            <w:right w:w="0" w:type="dxa"/>
          </w:tblCellMar>
        </w:tblPrEx>
        <w:trPr>
          <w:trHeight w:val="2086" w:hRule="exact"/>
          <w:jc w:val="center"/>
        </w:trPr>
        <w:tc>
          <w:tcPr>
            <w:tcW w:w="851"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ind w:left="222" w:right="223"/>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11</w:t>
            </w:r>
          </w:p>
        </w:tc>
        <w:tc>
          <w:tcPr>
            <w:tcW w:w="4846" w:type="dxa"/>
            <w:tcBorders>
              <w:top w:val="single" w:color="000000" w:sz="4" w:space="0"/>
              <w:left w:val="single" w:color="000000" w:sz="4" w:space="0"/>
              <w:bottom w:val="single" w:color="000000" w:sz="4" w:space="0"/>
              <w:right w:val="single" w:color="000000" w:sz="4" w:space="0"/>
            </w:tcBorders>
            <w:vAlign w:val="center"/>
          </w:tcPr>
          <w:p>
            <w:pPr>
              <w:rPr>
                <w:rFonts w:asciiTheme="minorEastAsia" w:hAnsiTheme="minorEastAsia" w:cstheme="minorEastAsia"/>
                <w:kern w:val="0"/>
                <w:sz w:val="24"/>
                <w:szCs w:val="24"/>
              </w:rPr>
            </w:pPr>
            <w:r>
              <w:rPr>
                <w:rFonts w:hint="eastAsia" w:asciiTheme="minorEastAsia" w:hAnsiTheme="minorEastAsia" w:cstheme="minorEastAsia"/>
                <w:kern w:val="0"/>
                <w:sz w:val="24"/>
                <w:szCs w:val="24"/>
              </w:rPr>
              <w:t>5.7.4.1条款，生产原料损耗限制传统法二铵和料浆法一铵中五氧化二磷小于等于0.5%达不到，主要原因是因为原料湿法磷酸中金属杂质较多，在中和的过程中形成枸溶性或不溶性的复合盐，导致了磷的退化，现我厂一般只能达到95%的利用率左右。</w:t>
            </w:r>
          </w:p>
        </w:tc>
        <w:tc>
          <w:tcPr>
            <w:tcW w:w="2712"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pacing w:line="250" w:lineRule="auto"/>
              <w:ind w:right="50"/>
              <w:jc w:val="center"/>
              <w:rPr>
                <w:rFonts w:asciiTheme="minorEastAsia" w:hAnsiTheme="minorEastAsia" w:cstheme="minorEastAsia"/>
                <w:sz w:val="24"/>
                <w:szCs w:val="24"/>
              </w:rPr>
            </w:pPr>
            <w:r>
              <w:rPr>
                <w:rFonts w:hint="eastAsia" w:asciiTheme="minorEastAsia" w:hAnsiTheme="minorEastAsia" w:cstheme="minorEastAsia"/>
                <w:sz w:val="24"/>
                <w:szCs w:val="24"/>
              </w:rPr>
              <w:t>湖北三宁化工股份有限公司</w:t>
            </w:r>
          </w:p>
        </w:tc>
        <w:tc>
          <w:tcPr>
            <w:tcW w:w="1229"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ind w:left="102"/>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采纳</w:t>
            </w:r>
          </w:p>
        </w:tc>
        <w:tc>
          <w:tcPr>
            <w:tcW w:w="4488"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pacing w:before="16" w:line="250" w:lineRule="auto"/>
              <w:ind w:right="116"/>
              <w:jc w:val="center"/>
              <w:rPr>
                <w:rFonts w:asciiTheme="minorEastAsia" w:hAnsiTheme="minorEastAsia" w:cstheme="minorEastAsia"/>
                <w:sz w:val="24"/>
                <w:szCs w:val="24"/>
              </w:rPr>
            </w:pPr>
            <w:r>
              <w:rPr>
                <w:rFonts w:hint="eastAsia" w:asciiTheme="minorEastAsia" w:hAnsiTheme="minorEastAsia" w:cstheme="minorEastAsia"/>
                <w:sz w:val="24"/>
                <w:szCs w:val="24"/>
              </w:rPr>
              <w:t>待征求更多行业内企业意见后，再进行合理调整。</w:t>
            </w:r>
          </w:p>
        </w:tc>
      </w:tr>
    </w:tbl>
    <w:p>
      <w:pPr>
        <w:autoSpaceDE w:val="0"/>
        <w:autoSpaceDN w:val="0"/>
        <w:adjustRightInd w:val="0"/>
        <w:spacing w:line="305" w:lineRule="exact"/>
        <w:jc w:val="left"/>
        <w:rPr>
          <w:rFonts w:ascii="微软雅黑" w:hAnsi="Times New Roman" w:eastAsia="微软雅黑" w:cs="微软雅黑"/>
          <w:kern w:val="0"/>
          <w:szCs w:val="21"/>
        </w:rPr>
      </w:pPr>
    </w:p>
    <w:sectPr>
      <w:footerReference r:id="rId6" w:type="default"/>
      <w:pgSz w:w="16840" w:h="11920" w:orient="landscape"/>
      <w:pgMar w:top="1080" w:right="1260" w:bottom="280" w:left="1220" w:header="0" w:footer="981" w:gutter="0"/>
      <w:pgNumType w:fmt="decimal"/>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Microsoft JhengHei">
    <w:panose1 w:val="020B0604030504040204"/>
    <w:charset w:val="88"/>
    <w:family w:val="swiss"/>
    <w:pitch w:val="default"/>
    <w:sig w:usb0="000002A7" w:usb1="28CF4400" w:usb2="00000016" w:usb3="00000000" w:csb0="00100009" w:csb1="00000000"/>
  </w:font>
  <w:font w:name="Microsoft Tai Le">
    <w:panose1 w:val="020B0502040204020203"/>
    <w:charset w:val="00"/>
    <w:family w:val="swiss"/>
    <w:pitch w:val="default"/>
    <w:sig w:usb0="00000003" w:usb1="00000000" w:usb2="40000000" w:usb3="00000000" w:csb0="0000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autoSpaceDE w:val="0"/>
      <w:autoSpaceDN w:val="0"/>
      <w:adjustRightInd w:val="0"/>
      <w:spacing w:line="200" w:lineRule="exact"/>
      <w:jc w:val="left"/>
      <w:rPr>
        <w:rFonts w:ascii="Times New Roman" w:hAnsi="Times New Roman" w:cs="Times New Roman"/>
        <w:kern w:val="0"/>
        <w:sz w:val="20"/>
        <w:szCs w:val="20"/>
      </w:rPr>
    </w:pPr>
    <w:r>
      <w:pict>
        <v:shape id="_x0000_s2056" o:spid="_x0000_s2056" o:spt="202" type="#_x0000_t202" style="position:absolute;left:0pt;margin-top:793.1pt;height:11pt;width:13.15pt;mso-position-horizontal:center;mso-position-horizontal-relative:margin;mso-position-vertical-relative:page;z-index:251660288;mso-width-relative:page;mso-height-relative:page;" filled="f" stroked="f" coordsize="21600,21600" o:allowincell="f">
          <v:path/>
          <v:fill on="f" focussize="0,0"/>
          <v:stroke on="f"/>
          <v:imagedata o:title=""/>
          <o:lock v:ext="edit" aspectratio="f"/>
          <v:textbox inset="0mm,0mm,0mm,0mm">
            <w:txbxContent>
              <w:p>
                <w:pPr>
                  <w:autoSpaceDE w:val="0"/>
                  <w:autoSpaceDN w:val="0"/>
                  <w:adjustRightInd w:val="0"/>
                  <w:spacing w:line="204" w:lineRule="exact"/>
                  <w:ind w:left="40"/>
                  <w:jc w:val="left"/>
                  <w:rPr>
                    <w:rFonts w:ascii="Times New Roman" w:hAnsi="Times New Roman" w:cs="Times New Roman"/>
                    <w:kern w:val="0"/>
                    <w:sz w:val="18"/>
                    <w:szCs w:val="18"/>
                  </w:rPr>
                </w:pPr>
                <w:r>
                  <w:rPr>
                    <w:rFonts w:ascii="Times New Roman" w:hAnsi="Times New Roman" w:cs="Times New Roman"/>
                    <w:kern w:val="0"/>
                    <w:sz w:val="18"/>
                    <w:szCs w:val="18"/>
                  </w:rPr>
                  <w:fldChar w:fldCharType="begin"/>
                </w:r>
                <w:r>
                  <w:rPr>
                    <w:rFonts w:ascii="Times New Roman" w:hAnsi="Times New Roman" w:cs="Times New Roman"/>
                    <w:kern w:val="0"/>
                    <w:sz w:val="18"/>
                    <w:szCs w:val="18"/>
                  </w:rPr>
                  <w:instrText xml:space="preserve"> PAGE </w:instrText>
                </w:r>
                <w:r>
                  <w:rPr>
                    <w:rFonts w:ascii="Times New Roman" w:hAnsi="Times New Roman" w:cs="Times New Roman"/>
                    <w:kern w:val="0"/>
                    <w:sz w:val="18"/>
                    <w:szCs w:val="18"/>
                  </w:rPr>
                  <w:fldChar w:fldCharType="separate"/>
                </w:r>
                <w:r>
                  <w:rPr>
                    <w:rFonts w:ascii="Times New Roman" w:hAnsi="Times New Roman" w:cs="Times New Roman"/>
                    <w:kern w:val="0"/>
                    <w:sz w:val="18"/>
                    <w:szCs w:val="18"/>
                  </w:rPr>
                  <w:t>1</w:t>
                </w:r>
                <w:r>
                  <w:rPr>
                    <w:rFonts w:ascii="Times New Roman" w:hAnsi="Times New Roman" w:cs="Times New Roman"/>
                    <w:kern w:val="0"/>
                    <w:sz w:val="18"/>
                    <w:szCs w:val="18"/>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autoSpaceDE w:val="0"/>
      <w:autoSpaceDN w:val="0"/>
      <w:adjustRightInd w:val="0"/>
      <w:spacing w:line="200" w:lineRule="exact"/>
      <w:jc w:val="left"/>
      <w:rPr>
        <w:rFonts w:ascii="Times New Roman" w:hAnsi="Times New Roman" w:cs="Times New Roman"/>
        <w:kern w:val="0"/>
        <w:sz w:val="20"/>
        <w:szCs w:val="20"/>
      </w:rPr>
    </w:pPr>
    <w:r>
      <w:pict>
        <v:shape id="_x0000_s2058" o:spid="_x0000_s2058" o:spt="202" type="#_x0000_t202" style="position:absolute;left:0pt;margin-top:793.1pt;height:11pt;width:13.15pt;mso-position-horizontal:center;mso-position-horizontal-relative:margin;mso-position-vertical-relative:page;z-index:251662336;mso-width-relative:page;mso-height-relative:page;" filled="f" stroked="f" coordsize="21600,21600" o:allowincell="f">
          <v:path/>
          <v:fill on="f" focussize="0,0"/>
          <v:stroke on="f"/>
          <v:imagedata o:title=""/>
          <o:lock v:ext="edit" aspectratio="f"/>
          <v:textbox inset="0mm,0mm,0mm,0mm">
            <w:txbxContent>
              <w:p>
                <w:pPr>
                  <w:autoSpaceDE w:val="0"/>
                  <w:autoSpaceDN w:val="0"/>
                  <w:adjustRightInd w:val="0"/>
                  <w:spacing w:line="204" w:lineRule="exact"/>
                  <w:ind w:left="40"/>
                  <w:jc w:val="left"/>
                  <w:rPr>
                    <w:rFonts w:ascii="Times New Roman" w:hAnsi="Times New Roman" w:cs="Times New Roman"/>
                    <w:kern w:val="0"/>
                    <w:sz w:val="18"/>
                    <w:szCs w:val="18"/>
                  </w:rPr>
                </w:pPr>
                <w:r>
                  <w:rPr>
                    <w:rFonts w:ascii="Times New Roman" w:hAnsi="Times New Roman" w:cs="Times New Roman"/>
                    <w:kern w:val="0"/>
                    <w:sz w:val="18"/>
                    <w:szCs w:val="18"/>
                  </w:rPr>
                  <w:fldChar w:fldCharType="begin"/>
                </w:r>
                <w:r>
                  <w:rPr>
                    <w:rFonts w:ascii="Times New Roman" w:hAnsi="Times New Roman" w:cs="Times New Roman"/>
                    <w:kern w:val="0"/>
                    <w:sz w:val="18"/>
                    <w:szCs w:val="18"/>
                  </w:rPr>
                  <w:instrText xml:space="preserve"> PAGE </w:instrText>
                </w:r>
                <w:r>
                  <w:rPr>
                    <w:rFonts w:ascii="Times New Roman" w:hAnsi="Times New Roman" w:cs="Times New Roman"/>
                    <w:kern w:val="0"/>
                    <w:sz w:val="18"/>
                    <w:szCs w:val="18"/>
                  </w:rPr>
                  <w:fldChar w:fldCharType="separate"/>
                </w:r>
                <w:r>
                  <w:rPr>
                    <w:rFonts w:ascii="Times New Roman" w:hAnsi="Times New Roman" w:cs="Times New Roman"/>
                    <w:kern w:val="0"/>
                    <w:sz w:val="18"/>
                    <w:szCs w:val="18"/>
                  </w:rPr>
                  <w:t>1</w:t>
                </w:r>
                <w:r>
                  <w:rPr>
                    <w:rFonts w:ascii="Times New Roman" w:hAnsi="Times New Roman" w:cs="Times New Roman"/>
                    <w:kern w:val="0"/>
                    <w:sz w:val="18"/>
                    <w:szCs w:val="18"/>
                  </w:rP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autoSpaceDE w:val="0"/>
      <w:autoSpaceDN w:val="0"/>
      <w:adjustRightInd w:val="0"/>
      <w:spacing w:line="200" w:lineRule="exact"/>
      <w:jc w:val="left"/>
      <w:rPr>
        <w:rFonts w:ascii="Times New Roman" w:hAnsi="Times New Roman" w:cs="Times New Roman"/>
        <w:kern w:val="0"/>
        <w:sz w:val="20"/>
        <w:szCs w:val="20"/>
      </w:rPr>
    </w:pPr>
    <w:r>
      <w:pict>
        <v:shape id="_x0000_s2057" o:spid="_x0000_s2057" o:spt="202" type="#_x0000_t202" style="position:absolute;left:0pt;margin-top:793.1pt;height:11pt;width:13.15pt;mso-position-horizontal:center;mso-position-horizontal-relative:margin;mso-position-vertical-relative:page;z-index:251661312;mso-width-relative:page;mso-height-relative:page;" filled="f" stroked="f" coordsize="21600,21600" o:allowincell="f">
          <v:path/>
          <v:fill on="f" focussize="0,0"/>
          <v:stroke on="f"/>
          <v:imagedata o:title=""/>
          <o:lock v:ext="edit" aspectratio="f"/>
          <v:textbox inset="0mm,0mm,0mm,0mm">
            <w:txbxContent>
              <w:p>
                <w:pPr>
                  <w:autoSpaceDE w:val="0"/>
                  <w:autoSpaceDN w:val="0"/>
                  <w:adjustRightInd w:val="0"/>
                  <w:spacing w:line="204" w:lineRule="exact"/>
                  <w:ind w:left="40"/>
                  <w:jc w:val="left"/>
                  <w:rPr>
                    <w:rFonts w:ascii="Times New Roman" w:hAnsi="Times New Roman" w:cs="Times New Roman"/>
                    <w:kern w:val="0"/>
                    <w:sz w:val="18"/>
                    <w:szCs w:val="18"/>
                  </w:rPr>
                </w:pPr>
                <w:r>
                  <w:rPr>
                    <w:rFonts w:ascii="Times New Roman" w:hAnsi="Times New Roman" w:cs="Times New Roman"/>
                    <w:kern w:val="0"/>
                    <w:sz w:val="18"/>
                    <w:szCs w:val="18"/>
                  </w:rPr>
                  <w:fldChar w:fldCharType="begin"/>
                </w:r>
                <w:r>
                  <w:rPr>
                    <w:rFonts w:ascii="Times New Roman" w:hAnsi="Times New Roman" w:cs="Times New Roman"/>
                    <w:kern w:val="0"/>
                    <w:sz w:val="18"/>
                    <w:szCs w:val="18"/>
                  </w:rPr>
                  <w:instrText xml:space="preserve"> PAGE </w:instrText>
                </w:r>
                <w:r>
                  <w:rPr>
                    <w:rFonts w:ascii="Times New Roman" w:hAnsi="Times New Roman" w:cs="Times New Roman"/>
                    <w:kern w:val="0"/>
                    <w:sz w:val="18"/>
                    <w:szCs w:val="18"/>
                  </w:rPr>
                  <w:fldChar w:fldCharType="separate"/>
                </w:r>
                <w:r>
                  <w:rPr>
                    <w:rFonts w:ascii="Times New Roman" w:hAnsi="Times New Roman" w:cs="Times New Roman"/>
                    <w:kern w:val="0"/>
                    <w:sz w:val="18"/>
                    <w:szCs w:val="18"/>
                  </w:rPr>
                  <w:t>1</w:t>
                </w:r>
                <w:r>
                  <w:rPr>
                    <w:rFonts w:ascii="Times New Roman" w:hAnsi="Times New Roman" w:cs="Times New Roman"/>
                    <w:kern w:val="0"/>
                    <w:sz w:val="18"/>
                    <w:szCs w:val="18"/>
                  </w:rP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autoSpaceDE w:val="0"/>
      <w:autoSpaceDN w:val="0"/>
      <w:adjustRightInd w:val="0"/>
      <w:spacing w:line="200" w:lineRule="exact"/>
      <w:rPr>
        <w:rFonts w:ascii="Times New Roman" w:hAnsi="Times New Roman" w:cs="Times New Roman"/>
        <w:kern w:val="0"/>
        <w:sz w:val="20"/>
        <w:szCs w:val="20"/>
      </w:rPr>
    </w:pPr>
    <w:r>
      <w:rPr>
        <w:sz w:val="20"/>
      </w:rPr>
      <w:pict>
        <v:shape id="_x0000_s2059" o:spid="_x0000_s2059" o:spt="202" type="#_x0000_t202" style="position:absolute;left:0pt;margin-top:0pt;height:144pt;width:144pt;mso-position-horizontal:center;mso-position-horizontal-relative:margin;mso-wrap-style:none;z-index:251663360;mso-width-relative:page;mso-height-relative:page;" filled="f" stroked="f" coordsize="21600,21600">
          <v:path/>
          <v:fill on="f" focussize="0,0"/>
          <v:stroke on="f"/>
          <v:imagedata o:title=""/>
          <o:lock v:ext="edit" aspectratio="f"/>
          <v:textbox inset="0mm,0mm,0mm,0mm" style="mso-fit-shape-to-text:t;">
            <w:txbxContent>
              <w:p>
                <w:pPr>
                  <w:pStyle w:val="2"/>
                </w:pPr>
                <w:r>
                  <w:fldChar w:fldCharType="begin"/>
                </w:r>
                <w:r>
                  <w:instrText xml:space="preserve"> PAGE  \* MERGEFORMAT </w:instrText>
                </w:r>
                <w:r>
                  <w:fldChar w:fldCharType="separate"/>
                </w:r>
                <w:r>
                  <w:t>XIV</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DE86845"/>
    <w:multiLevelType w:val="singleLevel"/>
    <w:tmpl w:val="5DE86845"/>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720"/>
  <w:drawingGridHorizontalSpacing w:val="120"/>
  <w:drawingGridVerticalSpacing w:val="120"/>
  <w:displayHorizontalDrawingGridEvery w:val="0"/>
  <w:displayVerticalDrawingGridEvery w:val="3"/>
  <w:doNotUseMarginsForDrawingGridOrigin w:val="1"/>
  <w:drawingGridHorizontalOrigin w:val="1800"/>
  <w:drawingGridVerticalOrigin w:val="1440"/>
  <w:doNotShadeFormData w:val="1"/>
  <w:characterSpacingControl w:val="doNotCompress"/>
  <w:doNotValidateAgainstSchema/>
  <w:doNotDemarcateInvalidXml/>
  <w:hdrShapeDefaults>
    <o:shapelayout v:ext="edit">
      <o:idmap v:ext="edit" data="2"/>
    </o:shapelayout>
  </w:hdrShapeDefaults>
  <w:compat>
    <w:spaceForUL/>
    <w:doNotLeaveBackslashAlone/>
    <w:ulTrailSpace/>
    <w:doNotExpandShiftReturn/>
    <w:adjustLineHeightInTable/>
    <w:useFELayout/>
    <w:compatSetting w:name="compatibilityMode" w:uri="http://schemas.microsoft.com/office/word" w:val="12"/>
  </w:compat>
  <w:rsids>
    <w:rsidRoot w:val="00292358"/>
    <w:rsid w:val="00045EC5"/>
    <w:rsid w:val="000B17AF"/>
    <w:rsid w:val="000C024B"/>
    <w:rsid w:val="001A5576"/>
    <w:rsid w:val="00242F82"/>
    <w:rsid w:val="002709DA"/>
    <w:rsid w:val="00292358"/>
    <w:rsid w:val="002A1055"/>
    <w:rsid w:val="002C1BE2"/>
    <w:rsid w:val="002D63A1"/>
    <w:rsid w:val="00310D24"/>
    <w:rsid w:val="00324569"/>
    <w:rsid w:val="003A0C72"/>
    <w:rsid w:val="00434562"/>
    <w:rsid w:val="00493C80"/>
    <w:rsid w:val="004D4AEB"/>
    <w:rsid w:val="004E6010"/>
    <w:rsid w:val="00552C99"/>
    <w:rsid w:val="005B2E00"/>
    <w:rsid w:val="00615C9A"/>
    <w:rsid w:val="00714FC2"/>
    <w:rsid w:val="007A6C68"/>
    <w:rsid w:val="007F0838"/>
    <w:rsid w:val="00892C79"/>
    <w:rsid w:val="008A750B"/>
    <w:rsid w:val="008F0B5F"/>
    <w:rsid w:val="008F5200"/>
    <w:rsid w:val="00986AC8"/>
    <w:rsid w:val="009A5B78"/>
    <w:rsid w:val="009F7C7E"/>
    <w:rsid w:val="00AD67AE"/>
    <w:rsid w:val="00B009E4"/>
    <w:rsid w:val="00B75441"/>
    <w:rsid w:val="00BC38B0"/>
    <w:rsid w:val="00BD7651"/>
    <w:rsid w:val="00C42B89"/>
    <w:rsid w:val="00CB1EB4"/>
    <w:rsid w:val="00CC3C43"/>
    <w:rsid w:val="00CC76B6"/>
    <w:rsid w:val="00D0496D"/>
    <w:rsid w:val="00DC2FFC"/>
    <w:rsid w:val="00DD4B01"/>
    <w:rsid w:val="00E16D71"/>
    <w:rsid w:val="00E410AC"/>
    <w:rsid w:val="00E94936"/>
    <w:rsid w:val="00FF6679"/>
    <w:rsid w:val="01086F83"/>
    <w:rsid w:val="01227015"/>
    <w:rsid w:val="013B7096"/>
    <w:rsid w:val="015265B0"/>
    <w:rsid w:val="01B12E58"/>
    <w:rsid w:val="01C761D7"/>
    <w:rsid w:val="01CF51C7"/>
    <w:rsid w:val="01EC6911"/>
    <w:rsid w:val="020B6A0C"/>
    <w:rsid w:val="02445A7A"/>
    <w:rsid w:val="024A3CE3"/>
    <w:rsid w:val="02F92D08"/>
    <w:rsid w:val="037022B8"/>
    <w:rsid w:val="03A013D6"/>
    <w:rsid w:val="04131BA8"/>
    <w:rsid w:val="04177941"/>
    <w:rsid w:val="046530D5"/>
    <w:rsid w:val="04CE1F73"/>
    <w:rsid w:val="050D5709"/>
    <w:rsid w:val="053A3164"/>
    <w:rsid w:val="053E7D87"/>
    <w:rsid w:val="054D2E98"/>
    <w:rsid w:val="054E09BE"/>
    <w:rsid w:val="054F4E62"/>
    <w:rsid w:val="055E6E53"/>
    <w:rsid w:val="058759EB"/>
    <w:rsid w:val="06830D93"/>
    <w:rsid w:val="06A1008F"/>
    <w:rsid w:val="075C748B"/>
    <w:rsid w:val="07617C80"/>
    <w:rsid w:val="07707311"/>
    <w:rsid w:val="07AA01D4"/>
    <w:rsid w:val="07BC6FAC"/>
    <w:rsid w:val="07DC396C"/>
    <w:rsid w:val="081658FD"/>
    <w:rsid w:val="081754CF"/>
    <w:rsid w:val="0834033F"/>
    <w:rsid w:val="087E4A28"/>
    <w:rsid w:val="088E4AD9"/>
    <w:rsid w:val="09211FE6"/>
    <w:rsid w:val="095A3DD5"/>
    <w:rsid w:val="095B097E"/>
    <w:rsid w:val="09962A5D"/>
    <w:rsid w:val="09DE3A57"/>
    <w:rsid w:val="09EB0ED1"/>
    <w:rsid w:val="0A26163F"/>
    <w:rsid w:val="0A2F5262"/>
    <w:rsid w:val="0A4C1970"/>
    <w:rsid w:val="0A55597F"/>
    <w:rsid w:val="0A5E78F5"/>
    <w:rsid w:val="0A71257D"/>
    <w:rsid w:val="0A7E737F"/>
    <w:rsid w:val="0A851326"/>
    <w:rsid w:val="0B077F8D"/>
    <w:rsid w:val="0B81389B"/>
    <w:rsid w:val="0CE60674"/>
    <w:rsid w:val="0D304ED3"/>
    <w:rsid w:val="0D335069"/>
    <w:rsid w:val="0D5D451B"/>
    <w:rsid w:val="0D5D5C42"/>
    <w:rsid w:val="0DB735A4"/>
    <w:rsid w:val="0DFA5B18"/>
    <w:rsid w:val="0E0662D9"/>
    <w:rsid w:val="0E1B6E10"/>
    <w:rsid w:val="0E332807"/>
    <w:rsid w:val="0E9322A4"/>
    <w:rsid w:val="0EA93835"/>
    <w:rsid w:val="0EAC6E81"/>
    <w:rsid w:val="0EB607F6"/>
    <w:rsid w:val="0EC57F43"/>
    <w:rsid w:val="0F1F5E6F"/>
    <w:rsid w:val="0F3550C8"/>
    <w:rsid w:val="0F543760"/>
    <w:rsid w:val="0FA47B58"/>
    <w:rsid w:val="0FA74206"/>
    <w:rsid w:val="100C4171"/>
    <w:rsid w:val="1045133B"/>
    <w:rsid w:val="1054157E"/>
    <w:rsid w:val="106A2B50"/>
    <w:rsid w:val="10F553AF"/>
    <w:rsid w:val="112E0608"/>
    <w:rsid w:val="114F1D45"/>
    <w:rsid w:val="118E6D12"/>
    <w:rsid w:val="11F528E1"/>
    <w:rsid w:val="11F8418B"/>
    <w:rsid w:val="12294B39"/>
    <w:rsid w:val="124255D8"/>
    <w:rsid w:val="124E25E0"/>
    <w:rsid w:val="12635AA8"/>
    <w:rsid w:val="12791770"/>
    <w:rsid w:val="129A536D"/>
    <w:rsid w:val="12BD5B41"/>
    <w:rsid w:val="12F17465"/>
    <w:rsid w:val="12F47048"/>
    <w:rsid w:val="130A686C"/>
    <w:rsid w:val="133B6A25"/>
    <w:rsid w:val="138D552F"/>
    <w:rsid w:val="139220BF"/>
    <w:rsid w:val="13F9382E"/>
    <w:rsid w:val="145327F1"/>
    <w:rsid w:val="14812B5E"/>
    <w:rsid w:val="14985C21"/>
    <w:rsid w:val="14B142E4"/>
    <w:rsid w:val="14B27CF6"/>
    <w:rsid w:val="14D0319D"/>
    <w:rsid w:val="15042609"/>
    <w:rsid w:val="153D0862"/>
    <w:rsid w:val="15492935"/>
    <w:rsid w:val="154D1AB5"/>
    <w:rsid w:val="157D50D3"/>
    <w:rsid w:val="15B3765C"/>
    <w:rsid w:val="15E20E8C"/>
    <w:rsid w:val="16553326"/>
    <w:rsid w:val="16DD7E7C"/>
    <w:rsid w:val="176F4EEF"/>
    <w:rsid w:val="17771FF6"/>
    <w:rsid w:val="17994464"/>
    <w:rsid w:val="17D15BAA"/>
    <w:rsid w:val="17F90C5D"/>
    <w:rsid w:val="181D2B9D"/>
    <w:rsid w:val="184225BE"/>
    <w:rsid w:val="18460845"/>
    <w:rsid w:val="18564B94"/>
    <w:rsid w:val="1862053D"/>
    <w:rsid w:val="188A41EA"/>
    <w:rsid w:val="189F35B2"/>
    <w:rsid w:val="18E241CC"/>
    <w:rsid w:val="18E611E1"/>
    <w:rsid w:val="18F500C8"/>
    <w:rsid w:val="19021B3D"/>
    <w:rsid w:val="193630C5"/>
    <w:rsid w:val="199C6B01"/>
    <w:rsid w:val="19CE05F3"/>
    <w:rsid w:val="19F85670"/>
    <w:rsid w:val="1A0A1C0D"/>
    <w:rsid w:val="1AAB26E2"/>
    <w:rsid w:val="1AD96035"/>
    <w:rsid w:val="1AE94FB9"/>
    <w:rsid w:val="1AFA0F74"/>
    <w:rsid w:val="1B1C713C"/>
    <w:rsid w:val="1B385B1E"/>
    <w:rsid w:val="1B8C242C"/>
    <w:rsid w:val="1BC51582"/>
    <w:rsid w:val="1BCF2401"/>
    <w:rsid w:val="1C183B46"/>
    <w:rsid w:val="1C7A05BE"/>
    <w:rsid w:val="1C7A5B18"/>
    <w:rsid w:val="1C8A6328"/>
    <w:rsid w:val="1CF70F88"/>
    <w:rsid w:val="1D01483C"/>
    <w:rsid w:val="1D14748C"/>
    <w:rsid w:val="1D210A3A"/>
    <w:rsid w:val="1D2B3EE7"/>
    <w:rsid w:val="1D444728"/>
    <w:rsid w:val="1D8420C5"/>
    <w:rsid w:val="1D9116FC"/>
    <w:rsid w:val="1D9624F3"/>
    <w:rsid w:val="1EB63404"/>
    <w:rsid w:val="1ECE2E43"/>
    <w:rsid w:val="1EF108E0"/>
    <w:rsid w:val="1F033E53"/>
    <w:rsid w:val="1F0D396C"/>
    <w:rsid w:val="1F12252A"/>
    <w:rsid w:val="1F374545"/>
    <w:rsid w:val="1F422BA2"/>
    <w:rsid w:val="1F752C8F"/>
    <w:rsid w:val="1FA4795E"/>
    <w:rsid w:val="1FD06057"/>
    <w:rsid w:val="1FEA1B55"/>
    <w:rsid w:val="1FF40688"/>
    <w:rsid w:val="20025D8F"/>
    <w:rsid w:val="200F7270"/>
    <w:rsid w:val="20B6593D"/>
    <w:rsid w:val="20DE49F1"/>
    <w:rsid w:val="212760FF"/>
    <w:rsid w:val="212E1977"/>
    <w:rsid w:val="21617F9F"/>
    <w:rsid w:val="21816EBF"/>
    <w:rsid w:val="21897ECB"/>
    <w:rsid w:val="21B979C9"/>
    <w:rsid w:val="221C3EC6"/>
    <w:rsid w:val="224A0A33"/>
    <w:rsid w:val="22C44BD8"/>
    <w:rsid w:val="22EF5136"/>
    <w:rsid w:val="22FF35CB"/>
    <w:rsid w:val="234721AD"/>
    <w:rsid w:val="235051B4"/>
    <w:rsid w:val="24563D0D"/>
    <w:rsid w:val="251B2213"/>
    <w:rsid w:val="257866CE"/>
    <w:rsid w:val="258C1362"/>
    <w:rsid w:val="25AB17E9"/>
    <w:rsid w:val="25D26CDC"/>
    <w:rsid w:val="25FF38E2"/>
    <w:rsid w:val="261753B8"/>
    <w:rsid w:val="264D1DC5"/>
    <w:rsid w:val="26F64CE5"/>
    <w:rsid w:val="270C4509"/>
    <w:rsid w:val="271909D4"/>
    <w:rsid w:val="273A08A0"/>
    <w:rsid w:val="273E305B"/>
    <w:rsid w:val="277976C4"/>
    <w:rsid w:val="277B343D"/>
    <w:rsid w:val="2786594A"/>
    <w:rsid w:val="27B32BD6"/>
    <w:rsid w:val="27C132BD"/>
    <w:rsid w:val="27DE59F6"/>
    <w:rsid w:val="2802590C"/>
    <w:rsid w:val="28341F69"/>
    <w:rsid w:val="28647FFC"/>
    <w:rsid w:val="291E49C7"/>
    <w:rsid w:val="2937519B"/>
    <w:rsid w:val="293B5A39"/>
    <w:rsid w:val="29BC4F75"/>
    <w:rsid w:val="29BE4929"/>
    <w:rsid w:val="29DF7CB3"/>
    <w:rsid w:val="2A1E21FB"/>
    <w:rsid w:val="2A222295"/>
    <w:rsid w:val="2A257690"/>
    <w:rsid w:val="2A5266D7"/>
    <w:rsid w:val="2A5E0201"/>
    <w:rsid w:val="2A636B36"/>
    <w:rsid w:val="2A783C63"/>
    <w:rsid w:val="2AE54618"/>
    <w:rsid w:val="2AF43C32"/>
    <w:rsid w:val="2B157704"/>
    <w:rsid w:val="2B1772F0"/>
    <w:rsid w:val="2B55091D"/>
    <w:rsid w:val="2B9D6077"/>
    <w:rsid w:val="2B9F59E0"/>
    <w:rsid w:val="2BF8505C"/>
    <w:rsid w:val="2BFA3C87"/>
    <w:rsid w:val="2C536973"/>
    <w:rsid w:val="2CB52F4D"/>
    <w:rsid w:val="2CC633AC"/>
    <w:rsid w:val="2CF73565"/>
    <w:rsid w:val="2CFE66A2"/>
    <w:rsid w:val="2D214A86"/>
    <w:rsid w:val="2D4668A9"/>
    <w:rsid w:val="2D7921CC"/>
    <w:rsid w:val="2D8E42BC"/>
    <w:rsid w:val="2DFB441A"/>
    <w:rsid w:val="2E0431F1"/>
    <w:rsid w:val="2E156917"/>
    <w:rsid w:val="2E3D144C"/>
    <w:rsid w:val="2E953036"/>
    <w:rsid w:val="2E994E55"/>
    <w:rsid w:val="2E9A064C"/>
    <w:rsid w:val="2EC839F3"/>
    <w:rsid w:val="2EE63891"/>
    <w:rsid w:val="2EEB7B20"/>
    <w:rsid w:val="2F6D3FB3"/>
    <w:rsid w:val="2F6E294B"/>
    <w:rsid w:val="2FCE0912"/>
    <w:rsid w:val="303E1027"/>
    <w:rsid w:val="30717AD3"/>
    <w:rsid w:val="30A27C8C"/>
    <w:rsid w:val="30BD4AC6"/>
    <w:rsid w:val="30CB71E3"/>
    <w:rsid w:val="31620395"/>
    <w:rsid w:val="31742A51"/>
    <w:rsid w:val="31AD4B3A"/>
    <w:rsid w:val="31B41A25"/>
    <w:rsid w:val="31E00A6C"/>
    <w:rsid w:val="31F01073"/>
    <w:rsid w:val="31F6028F"/>
    <w:rsid w:val="323A2BD8"/>
    <w:rsid w:val="32CE4D68"/>
    <w:rsid w:val="32D87995"/>
    <w:rsid w:val="32DF2AD1"/>
    <w:rsid w:val="32FA3DAF"/>
    <w:rsid w:val="335B3078"/>
    <w:rsid w:val="335D0B51"/>
    <w:rsid w:val="336623D6"/>
    <w:rsid w:val="33C148CD"/>
    <w:rsid w:val="33C92DBF"/>
    <w:rsid w:val="33F67D1A"/>
    <w:rsid w:val="34091AC0"/>
    <w:rsid w:val="344726B6"/>
    <w:rsid w:val="346C4BC4"/>
    <w:rsid w:val="34765817"/>
    <w:rsid w:val="348A1163"/>
    <w:rsid w:val="351C000D"/>
    <w:rsid w:val="35690D78"/>
    <w:rsid w:val="35753BC1"/>
    <w:rsid w:val="35951B6D"/>
    <w:rsid w:val="35A16764"/>
    <w:rsid w:val="35ED19A9"/>
    <w:rsid w:val="35F31D41"/>
    <w:rsid w:val="365E4655"/>
    <w:rsid w:val="366076BD"/>
    <w:rsid w:val="369B31B3"/>
    <w:rsid w:val="36A25530"/>
    <w:rsid w:val="36D668E1"/>
    <w:rsid w:val="37144D14"/>
    <w:rsid w:val="37702033"/>
    <w:rsid w:val="378325C5"/>
    <w:rsid w:val="37BD17F5"/>
    <w:rsid w:val="386E77BE"/>
    <w:rsid w:val="38740E61"/>
    <w:rsid w:val="388C36FB"/>
    <w:rsid w:val="388C54AA"/>
    <w:rsid w:val="38DD3F57"/>
    <w:rsid w:val="390908A8"/>
    <w:rsid w:val="39355B41"/>
    <w:rsid w:val="399D377A"/>
    <w:rsid w:val="39A20CFD"/>
    <w:rsid w:val="39AF539F"/>
    <w:rsid w:val="39CD7798"/>
    <w:rsid w:val="3A1563CF"/>
    <w:rsid w:val="3A26016C"/>
    <w:rsid w:val="3A2B0D7C"/>
    <w:rsid w:val="3A2B484E"/>
    <w:rsid w:val="3A2E433E"/>
    <w:rsid w:val="3A322081"/>
    <w:rsid w:val="3A9C574C"/>
    <w:rsid w:val="3AA5370F"/>
    <w:rsid w:val="3AB31672"/>
    <w:rsid w:val="3ACD60C5"/>
    <w:rsid w:val="3B2319C9"/>
    <w:rsid w:val="3B3B291B"/>
    <w:rsid w:val="3B3E6803"/>
    <w:rsid w:val="3B603FCA"/>
    <w:rsid w:val="3BA96372"/>
    <w:rsid w:val="3C236125"/>
    <w:rsid w:val="3C5C2C55"/>
    <w:rsid w:val="3C67583F"/>
    <w:rsid w:val="3C7B550C"/>
    <w:rsid w:val="3CAA05F4"/>
    <w:rsid w:val="3CBB45AF"/>
    <w:rsid w:val="3CDA5E02"/>
    <w:rsid w:val="3CEB59EC"/>
    <w:rsid w:val="3CF25AF7"/>
    <w:rsid w:val="3CF4361D"/>
    <w:rsid w:val="3D0A0154"/>
    <w:rsid w:val="3D314871"/>
    <w:rsid w:val="3D8A59E6"/>
    <w:rsid w:val="3E0D29C8"/>
    <w:rsid w:val="3E3F088E"/>
    <w:rsid w:val="3E5E6576"/>
    <w:rsid w:val="3E62724B"/>
    <w:rsid w:val="3E9A01F4"/>
    <w:rsid w:val="3F214472"/>
    <w:rsid w:val="3F63636B"/>
    <w:rsid w:val="3FE13186"/>
    <w:rsid w:val="3FE536F1"/>
    <w:rsid w:val="400B1D9F"/>
    <w:rsid w:val="403501D5"/>
    <w:rsid w:val="40490124"/>
    <w:rsid w:val="4084115C"/>
    <w:rsid w:val="40F40090"/>
    <w:rsid w:val="41036525"/>
    <w:rsid w:val="411E510D"/>
    <w:rsid w:val="414601C0"/>
    <w:rsid w:val="414803DC"/>
    <w:rsid w:val="4153125A"/>
    <w:rsid w:val="41532D95"/>
    <w:rsid w:val="417E1E9B"/>
    <w:rsid w:val="42CE1B74"/>
    <w:rsid w:val="42EA779C"/>
    <w:rsid w:val="4302671E"/>
    <w:rsid w:val="431E3307"/>
    <w:rsid w:val="43215D85"/>
    <w:rsid w:val="43507942"/>
    <w:rsid w:val="43B26B0E"/>
    <w:rsid w:val="43BB5638"/>
    <w:rsid w:val="43D911DB"/>
    <w:rsid w:val="441F64F8"/>
    <w:rsid w:val="44342298"/>
    <w:rsid w:val="44444E8A"/>
    <w:rsid w:val="44A7281F"/>
    <w:rsid w:val="44AE525C"/>
    <w:rsid w:val="44BA15F0"/>
    <w:rsid w:val="45232CF2"/>
    <w:rsid w:val="45484B31"/>
    <w:rsid w:val="45497BB9"/>
    <w:rsid w:val="454D5FC1"/>
    <w:rsid w:val="4550160D"/>
    <w:rsid w:val="455C26A8"/>
    <w:rsid w:val="456F5F37"/>
    <w:rsid w:val="457B0D80"/>
    <w:rsid w:val="45AB6446"/>
    <w:rsid w:val="45AF3523"/>
    <w:rsid w:val="45CD2B11"/>
    <w:rsid w:val="45F002AA"/>
    <w:rsid w:val="46164604"/>
    <w:rsid w:val="46A35BE3"/>
    <w:rsid w:val="46D01E6C"/>
    <w:rsid w:val="4747126B"/>
    <w:rsid w:val="4766336A"/>
    <w:rsid w:val="47D97FDF"/>
    <w:rsid w:val="48164D90"/>
    <w:rsid w:val="48484E0B"/>
    <w:rsid w:val="486F26F2"/>
    <w:rsid w:val="48FA645F"/>
    <w:rsid w:val="49137521"/>
    <w:rsid w:val="4941283F"/>
    <w:rsid w:val="49D96075"/>
    <w:rsid w:val="49DC3DB7"/>
    <w:rsid w:val="49E07403"/>
    <w:rsid w:val="4A253068"/>
    <w:rsid w:val="4A5971B6"/>
    <w:rsid w:val="4A6C6EE9"/>
    <w:rsid w:val="4A822888"/>
    <w:rsid w:val="4B2E0642"/>
    <w:rsid w:val="4B3C4B0D"/>
    <w:rsid w:val="4B683B54"/>
    <w:rsid w:val="4BCF7696"/>
    <w:rsid w:val="4BD115F5"/>
    <w:rsid w:val="4CAA3CF8"/>
    <w:rsid w:val="4D0F7FFF"/>
    <w:rsid w:val="4DD3102D"/>
    <w:rsid w:val="4E3B5550"/>
    <w:rsid w:val="4E4D078E"/>
    <w:rsid w:val="4E8642F1"/>
    <w:rsid w:val="4E9609D8"/>
    <w:rsid w:val="4EDD2FDD"/>
    <w:rsid w:val="4EFA0F67"/>
    <w:rsid w:val="4F321F20"/>
    <w:rsid w:val="4F431092"/>
    <w:rsid w:val="4F455F5A"/>
    <w:rsid w:val="4F4F0984"/>
    <w:rsid w:val="4F952A3E"/>
    <w:rsid w:val="4FAE3B00"/>
    <w:rsid w:val="5023004A"/>
    <w:rsid w:val="503C4B60"/>
    <w:rsid w:val="504F7091"/>
    <w:rsid w:val="506A5C79"/>
    <w:rsid w:val="50741C6D"/>
    <w:rsid w:val="509433EC"/>
    <w:rsid w:val="50B415EA"/>
    <w:rsid w:val="50CF01D2"/>
    <w:rsid w:val="512027DB"/>
    <w:rsid w:val="51227E1D"/>
    <w:rsid w:val="517A013D"/>
    <w:rsid w:val="517D7206"/>
    <w:rsid w:val="51A03D0A"/>
    <w:rsid w:val="51AE7211"/>
    <w:rsid w:val="51B851AF"/>
    <w:rsid w:val="51D448D0"/>
    <w:rsid w:val="51F779E0"/>
    <w:rsid w:val="51FE0D6E"/>
    <w:rsid w:val="520C2D5F"/>
    <w:rsid w:val="52320A18"/>
    <w:rsid w:val="52412A09"/>
    <w:rsid w:val="528F177B"/>
    <w:rsid w:val="52D715BF"/>
    <w:rsid w:val="52E361B6"/>
    <w:rsid w:val="5304712F"/>
    <w:rsid w:val="537D2167"/>
    <w:rsid w:val="53F31C1E"/>
    <w:rsid w:val="53F51CFD"/>
    <w:rsid w:val="541F321E"/>
    <w:rsid w:val="544B5DC1"/>
    <w:rsid w:val="548D0188"/>
    <w:rsid w:val="549E0A8A"/>
    <w:rsid w:val="54C47921"/>
    <w:rsid w:val="54D538DD"/>
    <w:rsid w:val="54D62E19"/>
    <w:rsid w:val="55945546"/>
    <w:rsid w:val="55E62245"/>
    <w:rsid w:val="55EC6618"/>
    <w:rsid w:val="563665FD"/>
    <w:rsid w:val="563B11CF"/>
    <w:rsid w:val="567333AD"/>
    <w:rsid w:val="56775255"/>
    <w:rsid w:val="57765C21"/>
    <w:rsid w:val="57936D4E"/>
    <w:rsid w:val="57B123DF"/>
    <w:rsid w:val="57CB289F"/>
    <w:rsid w:val="582A3F3F"/>
    <w:rsid w:val="5837675F"/>
    <w:rsid w:val="58454F7D"/>
    <w:rsid w:val="588548A0"/>
    <w:rsid w:val="589D2963"/>
    <w:rsid w:val="58A65CBC"/>
    <w:rsid w:val="58B557E9"/>
    <w:rsid w:val="58BA0AB6"/>
    <w:rsid w:val="5925426B"/>
    <w:rsid w:val="59592964"/>
    <w:rsid w:val="59853B23"/>
    <w:rsid w:val="59A620FB"/>
    <w:rsid w:val="59B85CA7"/>
    <w:rsid w:val="59FD5DAF"/>
    <w:rsid w:val="5A113609"/>
    <w:rsid w:val="5A1B6236"/>
    <w:rsid w:val="5AAC26A3"/>
    <w:rsid w:val="5AB972EA"/>
    <w:rsid w:val="5AD63045"/>
    <w:rsid w:val="5B767BC7"/>
    <w:rsid w:val="5BBC1352"/>
    <w:rsid w:val="5BC87CF7"/>
    <w:rsid w:val="5BF3594F"/>
    <w:rsid w:val="5C061050"/>
    <w:rsid w:val="5C311D40"/>
    <w:rsid w:val="5C9212B6"/>
    <w:rsid w:val="5CB169DD"/>
    <w:rsid w:val="5CD24A1D"/>
    <w:rsid w:val="5CDB3187"/>
    <w:rsid w:val="5D344EBB"/>
    <w:rsid w:val="5D421266"/>
    <w:rsid w:val="5D4635C9"/>
    <w:rsid w:val="5D515502"/>
    <w:rsid w:val="5DAF116F"/>
    <w:rsid w:val="5DBB1F3E"/>
    <w:rsid w:val="5DC15EE2"/>
    <w:rsid w:val="5E420235"/>
    <w:rsid w:val="5E4C10B3"/>
    <w:rsid w:val="5E5E667E"/>
    <w:rsid w:val="5E693A13"/>
    <w:rsid w:val="5E7F2BC2"/>
    <w:rsid w:val="5ED510A9"/>
    <w:rsid w:val="5EE4309A"/>
    <w:rsid w:val="5F0674B4"/>
    <w:rsid w:val="5F16521D"/>
    <w:rsid w:val="5F351B48"/>
    <w:rsid w:val="5F494256"/>
    <w:rsid w:val="5F661E0C"/>
    <w:rsid w:val="5FBB2837"/>
    <w:rsid w:val="5FEB2206"/>
    <w:rsid w:val="5FFB4B3F"/>
    <w:rsid w:val="608D13ED"/>
    <w:rsid w:val="60AE7E03"/>
    <w:rsid w:val="60BA67A8"/>
    <w:rsid w:val="60C447CE"/>
    <w:rsid w:val="60C5514D"/>
    <w:rsid w:val="60C56CF2"/>
    <w:rsid w:val="60C56EFB"/>
    <w:rsid w:val="60D27622"/>
    <w:rsid w:val="61565DA5"/>
    <w:rsid w:val="61E11B13"/>
    <w:rsid w:val="623065F6"/>
    <w:rsid w:val="62B965EC"/>
    <w:rsid w:val="63474E4F"/>
    <w:rsid w:val="63BC0120"/>
    <w:rsid w:val="63C610F7"/>
    <w:rsid w:val="63CB65D6"/>
    <w:rsid w:val="641F2C0B"/>
    <w:rsid w:val="646006D0"/>
    <w:rsid w:val="64752CA8"/>
    <w:rsid w:val="6490610A"/>
    <w:rsid w:val="651D5558"/>
    <w:rsid w:val="652B2941"/>
    <w:rsid w:val="65442AE4"/>
    <w:rsid w:val="657F3B1C"/>
    <w:rsid w:val="65F04A1A"/>
    <w:rsid w:val="65FE16BB"/>
    <w:rsid w:val="6615622F"/>
    <w:rsid w:val="669B4986"/>
    <w:rsid w:val="66A7157D"/>
    <w:rsid w:val="66DF2BDE"/>
    <w:rsid w:val="6747184E"/>
    <w:rsid w:val="677E1BB2"/>
    <w:rsid w:val="678418BE"/>
    <w:rsid w:val="679A2E90"/>
    <w:rsid w:val="680508F1"/>
    <w:rsid w:val="684B3C03"/>
    <w:rsid w:val="6850354E"/>
    <w:rsid w:val="68B65AA7"/>
    <w:rsid w:val="690B0F36"/>
    <w:rsid w:val="690D0658"/>
    <w:rsid w:val="69122AFE"/>
    <w:rsid w:val="69316627"/>
    <w:rsid w:val="69390486"/>
    <w:rsid w:val="69540E1C"/>
    <w:rsid w:val="695F613F"/>
    <w:rsid w:val="69605006"/>
    <w:rsid w:val="69C74C0F"/>
    <w:rsid w:val="69E77EE2"/>
    <w:rsid w:val="6A3514A5"/>
    <w:rsid w:val="6A5A4B58"/>
    <w:rsid w:val="6A5E3620"/>
    <w:rsid w:val="6ABF49BB"/>
    <w:rsid w:val="6B032AFA"/>
    <w:rsid w:val="6B20545A"/>
    <w:rsid w:val="6B2C67AF"/>
    <w:rsid w:val="6B43383E"/>
    <w:rsid w:val="6B4D2244"/>
    <w:rsid w:val="6B4D27A0"/>
    <w:rsid w:val="6B9549AF"/>
    <w:rsid w:val="6C260F35"/>
    <w:rsid w:val="6C48605C"/>
    <w:rsid w:val="6CAD0F6F"/>
    <w:rsid w:val="6CE63CE7"/>
    <w:rsid w:val="6D064B23"/>
    <w:rsid w:val="6D443B19"/>
    <w:rsid w:val="6DC42A14"/>
    <w:rsid w:val="6E001F8C"/>
    <w:rsid w:val="6ED34FB9"/>
    <w:rsid w:val="6F125A01"/>
    <w:rsid w:val="6F8E6F95"/>
    <w:rsid w:val="70147F42"/>
    <w:rsid w:val="704C4F43"/>
    <w:rsid w:val="705F60D2"/>
    <w:rsid w:val="70C776D6"/>
    <w:rsid w:val="70CA3376"/>
    <w:rsid w:val="70DA60AB"/>
    <w:rsid w:val="710E6377"/>
    <w:rsid w:val="71740F84"/>
    <w:rsid w:val="72181581"/>
    <w:rsid w:val="721C414C"/>
    <w:rsid w:val="72380A4B"/>
    <w:rsid w:val="724C2FD8"/>
    <w:rsid w:val="724E58A4"/>
    <w:rsid w:val="726E19AD"/>
    <w:rsid w:val="727E1F48"/>
    <w:rsid w:val="728B2DDC"/>
    <w:rsid w:val="72E44471"/>
    <w:rsid w:val="72EB27F1"/>
    <w:rsid w:val="72EC03ED"/>
    <w:rsid w:val="734737A0"/>
    <w:rsid w:val="7358120C"/>
    <w:rsid w:val="73682094"/>
    <w:rsid w:val="73691968"/>
    <w:rsid w:val="73F676A0"/>
    <w:rsid w:val="73FE6554"/>
    <w:rsid w:val="740C0B71"/>
    <w:rsid w:val="7438001F"/>
    <w:rsid w:val="74732A9E"/>
    <w:rsid w:val="74842EFD"/>
    <w:rsid w:val="755A42DB"/>
    <w:rsid w:val="758962F1"/>
    <w:rsid w:val="75E3349E"/>
    <w:rsid w:val="75FA2D4B"/>
    <w:rsid w:val="76206C56"/>
    <w:rsid w:val="76790114"/>
    <w:rsid w:val="768A0573"/>
    <w:rsid w:val="76CF243F"/>
    <w:rsid w:val="771147F0"/>
    <w:rsid w:val="779C230C"/>
    <w:rsid w:val="77BA4E88"/>
    <w:rsid w:val="77D47CF8"/>
    <w:rsid w:val="77E063D0"/>
    <w:rsid w:val="77EB6DF0"/>
    <w:rsid w:val="77ED700C"/>
    <w:rsid w:val="77EE068E"/>
    <w:rsid w:val="77F73341"/>
    <w:rsid w:val="78393FFF"/>
    <w:rsid w:val="784277F8"/>
    <w:rsid w:val="787256EA"/>
    <w:rsid w:val="787C3EEC"/>
    <w:rsid w:val="78827754"/>
    <w:rsid w:val="78C92D49"/>
    <w:rsid w:val="794E3B86"/>
    <w:rsid w:val="7956473D"/>
    <w:rsid w:val="79584959"/>
    <w:rsid w:val="796110CF"/>
    <w:rsid w:val="79AE0823"/>
    <w:rsid w:val="79EE0383"/>
    <w:rsid w:val="79FF033D"/>
    <w:rsid w:val="7A543372"/>
    <w:rsid w:val="7A796935"/>
    <w:rsid w:val="7ABA7958"/>
    <w:rsid w:val="7ABD4A62"/>
    <w:rsid w:val="7B415CD4"/>
    <w:rsid w:val="7B871525"/>
    <w:rsid w:val="7BD16567"/>
    <w:rsid w:val="7BFF2E69"/>
    <w:rsid w:val="7C5C4760"/>
    <w:rsid w:val="7C6B04FF"/>
    <w:rsid w:val="7C9443EC"/>
    <w:rsid w:val="7CCB7772"/>
    <w:rsid w:val="7CE64029"/>
    <w:rsid w:val="7CFD5D3B"/>
    <w:rsid w:val="7D0A41BC"/>
    <w:rsid w:val="7D247602"/>
    <w:rsid w:val="7D946A83"/>
    <w:rsid w:val="7DBA3A7C"/>
    <w:rsid w:val="7E5F22E5"/>
    <w:rsid w:val="7E755665"/>
    <w:rsid w:val="7E771BA3"/>
    <w:rsid w:val="7E775881"/>
    <w:rsid w:val="7E80548C"/>
    <w:rsid w:val="7EA83C8C"/>
    <w:rsid w:val="7EAA17B2"/>
    <w:rsid w:val="7EBC5E02"/>
    <w:rsid w:val="7EDA7510"/>
    <w:rsid w:val="7F640E29"/>
    <w:rsid w:val="7F9B10FB"/>
    <w:rsid w:val="7FC05006"/>
    <w:rsid w:val="7FE17456"/>
    <w:rsid w:val="7FFC7B97"/>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 w:type="paragraph" w:customStyle="1" w:styleId="8">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9">
    <w:name w:val="fontstyle01"/>
    <w:basedOn w:val="5"/>
    <w:qFormat/>
    <w:uiPriority w:val="0"/>
    <w:rPr>
      <w:rFonts w:ascii="宋体" w:hAnsi="宋体" w:eastAsia="宋体" w:cs="宋体"/>
      <w:color w:val="000000"/>
      <w:sz w:val="22"/>
      <w:szCs w:val="22"/>
    </w:rPr>
  </w:style>
  <w:style w:type="paragraph" w:styleId="10">
    <w:name w:val="List Paragraph"/>
    <w:basedOn w:val="1"/>
    <w:qFormat/>
    <w:uiPriority w:val="34"/>
    <w:pPr>
      <w:ind w:firstLine="420" w:firstLineChars="200"/>
    </w:pPr>
  </w:style>
  <w:style w:type="paragraph" w:customStyle="1" w:styleId="11">
    <w:name w:val="修订1"/>
    <w:hidden/>
    <w:semiHidden/>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2056"/>
    <customShpInfo spid="_x0000_s2058"/>
    <customShpInfo spid="_x0000_s2057"/>
    <customShpInfo spid="_x0000_s2059" textRotate="1"/>
    <customShpInfo spid="_x0000_s105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17</Pages>
  <Words>1954</Words>
  <Characters>11139</Characters>
  <Lines>92</Lines>
  <Paragraphs>26</Paragraphs>
  <TotalTime>2</TotalTime>
  <ScaleCrop>false</ScaleCrop>
  <LinksUpToDate>false</LinksUpToDate>
  <CharactersWithSpaces>13067</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2022-03-10T08:24:00Z</dcterms:created>
  <dc:creator>ccpcli</dc:creator>
  <dc:description>Document was created by Solid Converter PDF Professional</dc:description>
  <cp:lastModifiedBy>heyao</cp:lastModifiedBy>
  <dcterms:modified xsi:type="dcterms:W3CDTF">2022-03-15T01:32:21Z</dcterms:modified>
  <dc:title>《轮胎行业绿色工厂评价要求》编制说明</dc:title>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0367AA1D70A34DAB8F4F9529689A33EA</vt:lpwstr>
  </property>
</Properties>
</file>